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Default="00EA51D0" w:rsidP="00EA51D0">
      <w:pPr>
        <w:widowControl w:val="0"/>
        <w:autoSpaceDE w:val="0"/>
        <w:autoSpaceDN w:val="0"/>
        <w:adjustRightInd w:val="0"/>
        <w:ind w:left="5954" w:firstLine="0"/>
        <w:rPr>
          <w:b/>
          <w:sz w:val="28"/>
          <w:szCs w:val="28"/>
        </w:rPr>
      </w:pPr>
      <w:r>
        <w:rPr>
          <w:b/>
          <w:sz w:val="28"/>
          <w:szCs w:val="28"/>
        </w:rPr>
        <w:t xml:space="preserve">           Утверждены:</w:t>
      </w:r>
    </w:p>
    <w:p w:rsidR="00EA51D0" w:rsidRDefault="00EA51D0" w:rsidP="00EA51D0">
      <w:pPr>
        <w:widowControl w:val="0"/>
        <w:autoSpaceDE w:val="0"/>
        <w:autoSpaceDN w:val="0"/>
        <w:adjustRightInd w:val="0"/>
        <w:jc w:val="right"/>
        <w:rPr>
          <w:b/>
          <w:sz w:val="28"/>
          <w:szCs w:val="28"/>
        </w:rPr>
      </w:pPr>
      <w:r>
        <w:rPr>
          <w:b/>
          <w:sz w:val="28"/>
          <w:szCs w:val="28"/>
        </w:rPr>
        <w:t>Постановлением администрации</w:t>
      </w:r>
    </w:p>
    <w:p w:rsidR="00EA51D0" w:rsidRDefault="00EA51D0" w:rsidP="00EA51D0">
      <w:pPr>
        <w:widowControl w:val="0"/>
        <w:autoSpaceDE w:val="0"/>
        <w:autoSpaceDN w:val="0"/>
        <w:adjustRightInd w:val="0"/>
        <w:jc w:val="center"/>
        <w:rPr>
          <w:b/>
          <w:sz w:val="28"/>
          <w:szCs w:val="28"/>
        </w:rPr>
      </w:pPr>
      <w:r>
        <w:rPr>
          <w:b/>
          <w:sz w:val="28"/>
          <w:szCs w:val="28"/>
        </w:rPr>
        <w:t xml:space="preserve">                                                       муниципального района</w:t>
      </w:r>
    </w:p>
    <w:p w:rsidR="00EA51D0" w:rsidRDefault="00EA51D0" w:rsidP="00EA51D0">
      <w:pPr>
        <w:widowControl w:val="0"/>
        <w:autoSpaceDE w:val="0"/>
        <w:autoSpaceDN w:val="0"/>
        <w:adjustRightInd w:val="0"/>
        <w:jc w:val="center"/>
        <w:rPr>
          <w:b/>
          <w:sz w:val="28"/>
          <w:szCs w:val="28"/>
        </w:rPr>
      </w:pPr>
      <w:r>
        <w:rPr>
          <w:b/>
          <w:sz w:val="28"/>
          <w:szCs w:val="28"/>
        </w:rPr>
        <w:t xml:space="preserve">                                                      «Краснояружский район»</w:t>
      </w:r>
    </w:p>
    <w:p w:rsidR="00EA51D0" w:rsidRDefault="00EA51D0" w:rsidP="00EA51D0">
      <w:pPr>
        <w:widowControl w:val="0"/>
        <w:autoSpaceDE w:val="0"/>
        <w:autoSpaceDN w:val="0"/>
        <w:adjustRightInd w:val="0"/>
        <w:rPr>
          <w:b/>
          <w:sz w:val="28"/>
          <w:szCs w:val="28"/>
        </w:rPr>
      </w:pPr>
      <w:r>
        <w:rPr>
          <w:b/>
          <w:sz w:val="28"/>
          <w:szCs w:val="28"/>
        </w:rPr>
        <w:t xml:space="preserve">                                                             от « </w:t>
      </w:r>
      <w:r w:rsidR="004763A8">
        <w:rPr>
          <w:b/>
          <w:sz w:val="28"/>
          <w:szCs w:val="28"/>
        </w:rPr>
        <w:t xml:space="preserve">30»октября </w:t>
      </w:r>
      <w:r>
        <w:rPr>
          <w:b/>
          <w:sz w:val="28"/>
          <w:szCs w:val="28"/>
        </w:rPr>
        <w:t>2017г. №</w:t>
      </w:r>
      <w:r w:rsidR="004763A8">
        <w:rPr>
          <w:b/>
          <w:sz w:val="28"/>
          <w:szCs w:val="28"/>
        </w:rPr>
        <w:t>238</w:t>
      </w: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066622">
        <w:rPr>
          <w:rFonts w:eastAsia="Times New Roman"/>
          <w:b/>
          <w:bCs/>
          <w:sz w:val="28"/>
          <w:szCs w:val="28"/>
        </w:rPr>
        <w:t>Краснояружск</w:t>
      </w:r>
      <w:r w:rsidR="000276BB">
        <w:rPr>
          <w:rFonts w:eastAsia="Times New Roman"/>
          <w:b/>
          <w:bCs/>
          <w:sz w:val="28"/>
          <w:szCs w:val="28"/>
        </w:rPr>
        <w:t>ого</w:t>
      </w:r>
      <w:r w:rsidR="00A4103E">
        <w:rPr>
          <w:rFonts w:eastAsia="Times New Roman"/>
          <w:b/>
          <w:bCs/>
          <w:sz w:val="28"/>
          <w:szCs w:val="28"/>
        </w:rPr>
        <w:t xml:space="preserve"> района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EA51D0" w:rsidRDefault="00CD3BE9" w:rsidP="002B3703">
      <w:pPr>
        <w:pStyle w:val="ConsPlusNormal"/>
        <w:jc w:val="center"/>
        <w:outlineLvl w:val="1"/>
        <w:rPr>
          <w:rFonts w:ascii="Times New Roman" w:hAnsi="Times New Roman" w:cs="Times New Roman"/>
          <w:b/>
          <w:sz w:val="28"/>
          <w:szCs w:val="28"/>
        </w:rPr>
      </w:pPr>
      <w:r w:rsidRPr="00EA51D0">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066622">
        <w:rPr>
          <w:rFonts w:eastAsia="Times New Roman"/>
          <w:sz w:val="28"/>
          <w:szCs w:val="28"/>
        </w:rPr>
        <w:t>Краснояружск</w:t>
      </w:r>
      <w:r w:rsidR="000276BB" w:rsidRPr="002B3703">
        <w:rPr>
          <w:rFonts w:eastAsia="Times New Roman"/>
          <w:sz w:val="28"/>
          <w:szCs w:val="28"/>
        </w:rPr>
        <w:t>ого района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066622">
        <w:rPr>
          <w:rFonts w:eastAsia="Times New Roman"/>
          <w:sz w:val="28"/>
          <w:szCs w:val="28"/>
        </w:rPr>
        <w:t>Краснояружск</w:t>
      </w:r>
      <w:r w:rsidR="00DA00B8" w:rsidRPr="002B3703">
        <w:rPr>
          <w:rFonts w:eastAsia="Times New Roman"/>
          <w:sz w:val="28"/>
          <w:szCs w:val="28"/>
        </w:rPr>
        <w:t>ого района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EA51D0"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EA51D0">
        <w:rPr>
          <w:rFonts w:eastAsia="Times New Roman"/>
          <w:b/>
          <w:bCs/>
          <w:sz w:val="28"/>
          <w:szCs w:val="28"/>
        </w:rPr>
        <w:t>.</w:t>
      </w:r>
      <w:r w:rsidRPr="002B3703">
        <w:rPr>
          <w:rFonts w:eastAsia="Times New Roman"/>
          <w:b/>
          <w:bCs/>
          <w:sz w:val="28"/>
          <w:szCs w:val="28"/>
          <w:lang w:val="en-US"/>
        </w:rPr>
        <w:t> </w:t>
      </w:r>
      <w:r w:rsidRPr="00EA51D0">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EA51D0">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066622">
        <w:rPr>
          <w:rFonts w:eastAsia="Times New Roman"/>
          <w:sz w:val="28"/>
          <w:szCs w:val="28"/>
        </w:rPr>
        <w:t>Краснояружск</w:t>
      </w:r>
      <w:r w:rsidR="000276BB" w:rsidRPr="002B3703">
        <w:rPr>
          <w:rFonts w:eastAsia="Times New Roman"/>
          <w:sz w:val="28"/>
          <w:szCs w:val="28"/>
        </w:rPr>
        <w:t>ого района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066622">
        <w:rPr>
          <w:rFonts w:ascii="Times New Roman" w:hAnsi="Times New Roman" w:cs="Times New Roman"/>
          <w:sz w:val="28"/>
          <w:szCs w:val="28"/>
        </w:rPr>
        <w:t>Краснояружск</w:t>
      </w:r>
      <w:r w:rsidR="00D8469E">
        <w:rPr>
          <w:rFonts w:ascii="Times New Roman" w:hAnsi="Times New Roman" w:cs="Times New Roman"/>
          <w:sz w:val="28"/>
          <w:szCs w:val="28"/>
        </w:rPr>
        <w:t>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EA51D0">
        <w:rPr>
          <w:rFonts w:ascii="Times New Roman" w:hAnsi="Times New Roman" w:cs="Times New Roman"/>
          <w:sz w:val="28"/>
          <w:szCs w:val="28"/>
        </w:rPr>
        <w:t>муниципального района</w:t>
      </w:r>
      <w:r w:rsidR="00EA51D0">
        <w:rPr>
          <w:rFonts w:ascii="Times New Roman" w:hAnsi="Times New Roman" w:cs="Times New Roman"/>
          <w:sz w:val="28"/>
          <w:szCs w:val="28"/>
        </w:rPr>
        <w:t xml:space="preserve"> «Краснояружский район»</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EA51D0">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EA51D0" w:rsidRPr="00EA51D0">
        <w:rPr>
          <w:rFonts w:ascii="Times New Roman" w:hAnsi="Times New Roman" w:cs="Times New Roman"/>
          <w:sz w:val="28"/>
          <w:szCs w:val="28"/>
        </w:rPr>
        <w:t>муниципального района</w:t>
      </w:r>
      <w:r w:rsidR="00EA51D0">
        <w:rPr>
          <w:rFonts w:ascii="Times New Roman" w:hAnsi="Times New Roman" w:cs="Times New Roman"/>
          <w:sz w:val="28"/>
          <w:szCs w:val="28"/>
        </w:rPr>
        <w:t xml:space="preserve"> «Краснояружский район»</w:t>
      </w:r>
      <w:r w:rsidRPr="001541A9">
        <w:rPr>
          <w:rFonts w:ascii="Times New Roman" w:eastAsia="Calibri" w:hAnsi="Times New Roman" w:cs="Times New Roman"/>
          <w:sz w:val="28"/>
          <w:szCs w:val="28"/>
        </w:rPr>
        <w:t>; планов и программ комплексного социально-экономического развития</w:t>
      </w:r>
      <w:r w:rsidR="00EA51D0">
        <w:rPr>
          <w:rFonts w:ascii="Times New Roman" w:eastAsia="Calibri" w:hAnsi="Times New Roman" w:cs="Times New Roman"/>
          <w:sz w:val="28"/>
          <w:szCs w:val="28"/>
        </w:rPr>
        <w:t xml:space="preserve"> </w:t>
      </w:r>
      <w:r w:rsidR="00EA51D0" w:rsidRPr="00EA51D0">
        <w:rPr>
          <w:rFonts w:ascii="Times New Roman" w:hAnsi="Times New Roman" w:cs="Times New Roman"/>
          <w:sz w:val="28"/>
          <w:szCs w:val="28"/>
        </w:rPr>
        <w:t>муниципального района</w:t>
      </w:r>
      <w:r w:rsidR="00EA51D0">
        <w:rPr>
          <w:rFonts w:ascii="Times New Roman" w:hAnsi="Times New Roman" w:cs="Times New Roman"/>
          <w:sz w:val="28"/>
          <w:szCs w:val="28"/>
        </w:rPr>
        <w:t xml:space="preserve"> «Краснояружский район»;</w:t>
      </w:r>
      <w:r w:rsidR="00EA51D0">
        <w:rPr>
          <w:rFonts w:ascii="Times New Roman" w:eastAsia="Calibri" w:hAnsi="Times New Roman" w:cs="Times New Roman"/>
          <w:sz w:val="28"/>
          <w:szCs w:val="28"/>
        </w:rPr>
        <w:t xml:space="preserve"> </w:t>
      </w:r>
      <w:r w:rsidRPr="00B15985">
        <w:rPr>
          <w:rFonts w:ascii="Times New Roman" w:eastAsia="Calibri" w:hAnsi="Times New Roman" w:cs="Times New Roman"/>
          <w:sz w:val="28"/>
          <w:szCs w:val="28"/>
        </w:rPr>
        <w:t>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EA5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w:t>
      </w:r>
      <w:r w:rsidR="00EA51D0">
        <w:rPr>
          <w:rFonts w:ascii="Times New Roman" w:hAnsi="Times New Roman" w:cs="Times New Roman"/>
          <w:sz w:val="28"/>
          <w:szCs w:val="28"/>
        </w:rPr>
        <w:t xml:space="preserve"> </w:t>
      </w:r>
      <w:r w:rsidR="00EA51D0" w:rsidRPr="00EA51D0">
        <w:rPr>
          <w:rFonts w:ascii="Times New Roman" w:hAnsi="Times New Roman" w:cs="Times New Roman"/>
          <w:sz w:val="28"/>
          <w:szCs w:val="28"/>
        </w:rPr>
        <w:t>муниципального района</w:t>
      </w:r>
      <w:r w:rsidR="00EA51D0">
        <w:rPr>
          <w:rFonts w:ascii="Times New Roman" w:hAnsi="Times New Roman" w:cs="Times New Roman"/>
          <w:sz w:val="28"/>
          <w:szCs w:val="28"/>
        </w:rPr>
        <w:t xml:space="preserve"> «Краснояружский район»,</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w:t>
      </w:r>
      <w:r w:rsidRPr="006D0C9C">
        <w:rPr>
          <w:rFonts w:ascii="Times New Roman" w:hAnsi="Times New Roman" w:cs="Times New Roman"/>
          <w:sz w:val="28"/>
          <w:szCs w:val="28"/>
        </w:rPr>
        <w:lastRenderedPageBreak/>
        <w:t xml:space="preserve">уровня территориальной доступности таких объектов для </w:t>
      </w:r>
      <w:r>
        <w:rPr>
          <w:rFonts w:ascii="Times New Roman" w:hAnsi="Times New Roman" w:cs="Times New Roman"/>
          <w:sz w:val="28"/>
          <w:szCs w:val="28"/>
        </w:rPr>
        <w:t>населения</w:t>
      </w:r>
      <w:r w:rsidR="00EA51D0">
        <w:rPr>
          <w:rFonts w:ascii="Times New Roman" w:hAnsi="Times New Roman" w:cs="Times New Roman"/>
          <w:sz w:val="28"/>
          <w:szCs w:val="28"/>
        </w:rPr>
        <w:t xml:space="preserve"> </w:t>
      </w:r>
      <w:r w:rsidR="00EA51D0" w:rsidRPr="00EA51D0">
        <w:rPr>
          <w:rFonts w:ascii="Times New Roman" w:hAnsi="Times New Roman" w:cs="Times New Roman"/>
          <w:sz w:val="28"/>
          <w:szCs w:val="28"/>
        </w:rPr>
        <w:t>муниципального района</w:t>
      </w:r>
      <w:r w:rsidR="00EA51D0">
        <w:rPr>
          <w:rFonts w:ascii="Times New Roman" w:hAnsi="Times New Roman" w:cs="Times New Roman"/>
          <w:sz w:val="28"/>
          <w:szCs w:val="28"/>
        </w:rPr>
        <w:t xml:space="preserve"> «Краснояружский район»</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066622">
        <w:rPr>
          <w:sz w:val="28"/>
          <w:szCs w:val="28"/>
        </w:rPr>
        <w:t>Краснояружск</w:t>
      </w:r>
      <w:r w:rsidR="000276BB">
        <w:rPr>
          <w:sz w:val="28"/>
          <w:szCs w:val="28"/>
        </w:rPr>
        <w:t>ого района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8457C"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8457C"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066622">
              <w:rPr>
                <w:sz w:val="28"/>
                <w:szCs w:val="28"/>
              </w:rPr>
              <w:t>Краснояружск</w:t>
            </w:r>
            <w:r w:rsidR="000276BB">
              <w:rPr>
                <w:sz w:val="28"/>
                <w:szCs w:val="28"/>
              </w:rPr>
              <w:t>ого района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066622">
              <w:rPr>
                <w:sz w:val="28"/>
                <w:szCs w:val="28"/>
              </w:rPr>
              <w:t>Краснояружск</w:t>
            </w:r>
            <w:r w:rsidR="000276BB">
              <w:rPr>
                <w:sz w:val="28"/>
                <w:szCs w:val="28"/>
              </w:rPr>
              <w:t>ого района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066622">
        <w:rPr>
          <w:sz w:val="28"/>
          <w:szCs w:val="28"/>
        </w:rPr>
        <w:t>Краснояружск</w:t>
      </w:r>
      <w:r w:rsidR="000276BB">
        <w:rPr>
          <w:sz w:val="28"/>
          <w:szCs w:val="28"/>
        </w:rPr>
        <w:t>ого района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066622">
        <w:rPr>
          <w:rFonts w:eastAsia="Times New Roman"/>
          <w:bCs/>
          <w:sz w:val="28"/>
          <w:szCs w:val="28"/>
        </w:rPr>
        <w:t>Краснояружск</w:t>
      </w:r>
      <w:r w:rsidR="000276BB">
        <w:rPr>
          <w:rFonts w:eastAsia="Times New Roman"/>
          <w:bCs/>
          <w:sz w:val="28"/>
          <w:szCs w:val="28"/>
        </w:rPr>
        <w:t>ого района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066622">
        <w:rPr>
          <w:b/>
          <w:sz w:val="28"/>
          <w:szCs w:val="28"/>
        </w:rPr>
        <w:t>Краснояружск</w:t>
      </w:r>
      <w:r w:rsidR="000276BB" w:rsidRPr="00565A1B">
        <w:rPr>
          <w:b/>
          <w:sz w:val="28"/>
          <w:szCs w:val="28"/>
        </w:rPr>
        <w:t>ого района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066622">
        <w:rPr>
          <w:rFonts w:eastAsia="Times New Roman"/>
          <w:sz w:val="28"/>
          <w:szCs w:val="28"/>
        </w:rPr>
        <w:t>Краснояружск</w:t>
      </w:r>
      <w:r w:rsidR="000276BB" w:rsidRPr="002B3703">
        <w:rPr>
          <w:rFonts w:eastAsia="Times New Roman"/>
          <w:sz w:val="28"/>
          <w:szCs w:val="28"/>
        </w:rPr>
        <w:t>ого района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066622">
        <w:rPr>
          <w:sz w:val="28"/>
          <w:szCs w:val="28"/>
        </w:rPr>
        <w:t>Краснояружск</w:t>
      </w:r>
      <w:r w:rsidR="000276BB">
        <w:rPr>
          <w:sz w:val="28"/>
          <w:szCs w:val="28"/>
        </w:rPr>
        <w:t>ого района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1) установление расчетных показателей, применение которых необходимо </w:t>
      </w:r>
      <w:r w:rsidRPr="005C1FAD">
        <w:rPr>
          <w:rFonts w:eastAsia="Times New Roman"/>
          <w:sz w:val="28"/>
          <w:szCs w:val="28"/>
        </w:rPr>
        <w:lastRenderedPageBreak/>
        <w:t>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066622">
        <w:rPr>
          <w:sz w:val="28"/>
          <w:szCs w:val="28"/>
        </w:rPr>
        <w:t>Краснояружск</w:t>
      </w:r>
      <w:r w:rsidR="000276BB">
        <w:rPr>
          <w:sz w:val="28"/>
          <w:szCs w:val="28"/>
        </w:rPr>
        <w:t>ого района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066622">
        <w:rPr>
          <w:sz w:val="28"/>
          <w:szCs w:val="28"/>
        </w:rPr>
        <w:t>Краснояружск</w:t>
      </w:r>
      <w:r w:rsidR="000276BB">
        <w:rPr>
          <w:sz w:val="28"/>
          <w:szCs w:val="28"/>
        </w:rPr>
        <w:t>ого района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066622">
        <w:rPr>
          <w:sz w:val="28"/>
          <w:szCs w:val="28"/>
        </w:rPr>
        <w:t>Краснояружск</w:t>
      </w:r>
      <w:r w:rsidR="000276BB">
        <w:rPr>
          <w:sz w:val="28"/>
          <w:szCs w:val="28"/>
        </w:rPr>
        <w:t>ого района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066622">
        <w:rPr>
          <w:b/>
          <w:sz w:val="28"/>
          <w:szCs w:val="28"/>
        </w:rPr>
        <w:t>Краснояружск</w:t>
      </w:r>
      <w:r w:rsidR="000276BB" w:rsidRPr="00565A1B">
        <w:rPr>
          <w:b/>
          <w:sz w:val="28"/>
          <w:szCs w:val="28"/>
        </w:rPr>
        <w:t>ого района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066622">
        <w:rPr>
          <w:sz w:val="28"/>
          <w:szCs w:val="28"/>
        </w:rPr>
        <w:t>Краснояружск</w:t>
      </w:r>
      <w:r w:rsidR="000276BB">
        <w:rPr>
          <w:sz w:val="28"/>
          <w:szCs w:val="28"/>
        </w:rPr>
        <w:t>ого района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pPr w:leftFromText="180" w:rightFromText="180" w:vertAnchor="text" w:horzAnchor="margin" w:tblpXSpec="center" w:tblpY="75"/>
        <w:tblW w:w="15026" w:type="dxa"/>
        <w:tblLook w:val="04A0" w:firstRow="1" w:lastRow="0" w:firstColumn="1" w:lastColumn="0" w:noHBand="0" w:noVBand="1"/>
      </w:tblPr>
      <w:tblGrid>
        <w:gridCol w:w="567"/>
        <w:gridCol w:w="2114"/>
        <w:gridCol w:w="2230"/>
        <w:gridCol w:w="2272"/>
        <w:gridCol w:w="1914"/>
        <w:gridCol w:w="1545"/>
        <w:gridCol w:w="1655"/>
        <w:gridCol w:w="2729"/>
      </w:tblGrid>
      <w:tr w:rsidR="00655D9E" w:rsidRPr="00655D9E" w:rsidTr="00655D9E">
        <w:trPr>
          <w:trHeight w:val="450"/>
        </w:trPr>
        <w:tc>
          <w:tcPr>
            <w:tcW w:w="268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Виды объектов местного значения </w:t>
            </w:r>
          </w:p>
        </w:tc>
        <w:tc>
          <w:tcPr>
            <w:tcW w:w="641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Наименование расчетного показателя объектов местного значения,</w:t>
            </w:r>
            <w:r w:rsidRPr="00655D9E">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Расчётные показатели</w:t>
            </w:r>
          </w:p>
        </w:tc>
        <w:tc>
          <w:tcPr>
            <w:tcW w:w="2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Примечания</w:t>
            </w:r>
          </w:p>
        </w:tc>
      </w:tr>
      <w:tr w:rsidR="00655D9E" w:rsidRPr="00655D9E" w:rsidTr="00655D9E">
        <w:trPr>
          <w:trHeight w:val="1830"/>
        </w:trPr>
        <w:tc>
          <w:tcPr>
            <w:tcW w:w="2681" w:type="dxa"/>
            <w:gridSpan w:val="2"/>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6416" w:type="dxa"/>
            <w:gridSpan w:val="3"/>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максимально допустимый уровень территориальной доступности</w:t>
            </w:r>
          </w:p>
        </w:tc>
        <w:tc>
          <w:tcPr>
            <w:tcW w:w="2729" w:type="dxa"/>
            <w:vMerge/>
            <w:tcBorders>
              <w:top w:val="single" w:sz="8" w:space="0" w:color="auto"/>
              <w:left w:val="single" w:sz="8"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b/>
                <w:bCs/>
                <w:sz w:val="18"/>
                <w:szCs w:val="18"/>
              </w:rPr>
            </w:pPr>
          </w:p>
        </w:tc>
      </w:tr>
      <w:tr w:rsidR="00655D9E" w:rsidRPr="00655D9E" w:rsidTr="00655D9E">
        <w:trPr>
          <w:trHeight w:val="555"/>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655D9E" w:rsidRPr="00655D9E" w:rsidTr="00655D9E">
        <w:trPr>
          <w:trHeight w:val="7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Электроснабжение </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55D9E">
              <w:rPr>
                <w:rFonts w:eastAsia="Times New Roman"/>
                <w:sz w:val="18"/>
                <w:szCs w:val="18"/>
              </w:rPr>
              <w:br/>
              <w:t>Понизительные подстанции, переключательные пункты номинальным напряжением до 35 кВ включительно.</w:t>
            </w:r>
            <w:r w:rsidRPr="00655D9E">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655D9E">
              <w:rPr>
                <w:rFonts w:eastAsia="Times New Roman"/>
                <w:sz w:val="18"/>
                <w:szCs w:val="18"/>
              </w:rPr>
              <w:br/>
              <w:t>Линии электропередачи напряжением от 10(6) до 35 кВ включительно.</w:t>
            </w:r>
          </w:p>
        </w:tc>
        <w:tc>
          <w:tcPr>
            <w:tcW w:w="6416" w:type="dxa"/>
            <w:gridSpan w:val="3"/>
            <w:tcBorders>
              <w:top w:val="single" w:sz="8" w:space="0" w:color="auto"/>
              <w:left w:val="nil"/>
              <w:bottom w:val="nil"/>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nil"/>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655D9E">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Укрупненные показатели расхода электроэнергии, [2] кВт*ч/ чел. в год: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Годовое число часов использования максимума электрической нагрузки, [2] ч:</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Газоснабжение </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природного газа для различных коммунальных нужд, [1] куб.м на человека в год:</w:t>
            </w:r>
          </w:p>
        </w:tc>
        <w:tc>
          <w:tcPr>
            <w:tcW w:w="4186" w:type="dxa"/>
            <w:gridSpan w:val="2"/>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42-101-2003;</w:t>
            </w:r>
            <w:r w:rsidRPr="00655D9E">
              <w:rPr>
                <w:rFonts w:eastAsia="Times New Roman"/>
                <w:sz w:val="18"/>
                <w:szCs w:val="18"/>
              </w:rPr>
              <w:br/>
              <w:t>2. Согласно СП 42.13330.2011указанные размеры земельных участков для ГНС являются максимальными.</w:t>
            </w: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газонаполнительной станции, [2] га.:</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Теплоснабжение</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r w:rsidRPr="00655D9E">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Водоснабжение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EB6F01" w:rsidRDefault="00655D9E" w:rsidP="00EB6F01">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EB6F01" w:rsidRDefault="00655D9E" w:rsidP="00EB6F01">
            <w:pPr>
              <w:ind w:firstLine="0"/>
              <w:jc w:val="left"/>
              <w:rPr>
                <w:rFonts w:eastAsia="Times New Roman"/>
                <w:sz w:val="18"/>
                <w:szCs w:val="18"/>
              </w:rPr>
            </w:pPr>
            <w:r w:rsidRPr="00655D9E">
              <w:rPr>
                <w:rFonts w:eastAsia="Times New Roman"/>
                <w:sz w:val="18"/>
                <w:szCs w:val="18"/>
              </w:rPr>
              <w:t>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w:t>
            </w:r>
          </w:p>
          <w:p w:rsidR="006A77D1" w:rsidRDefault="00655D9E" w:rsidP="00EB6F01">
            <w:pPr>
              <w:ind w:firstLine="0"/>
              <w:jc w:val="left"/>
              <w:rPr>
                <w:rFonts w:eastAsia="Times New Roman"/>
                <w:sz w:val="18"/>
                <w:szCs w:val="18"/>
              </w:rPr>
            </w:pPr>
            <w:r w:rsidRPr="00655D9E">
              <w:rPr>
                <w:rFonts w:eastAsia="Times New Roman"/>
                <w:sz w:val="18"/>
                <w:szCs w:val="18"/>
              </w:rPr>
              <w:t>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w:t>
            </w:r>
            <w:r w:rsidR="00EB6F01">
              <w:rPr>
                <w:rFonts w:eastAsia="Times New Roman"/>
                <w:sz w:val="18"/>
                <w:szCs w:val="18"/>
              </w:rPr>
              <w:t xml:space="preserve"> 5.</w:t>
            </w:r>
          </w:p>
          <w:p w:rsidR="00655D9E" w:rsidRPr="00655D9E" w:rsidRDefault="00655D9E" w:rsidP="00EB6F01">
            <w:pPr>
              <w:ind w:firstLine="0"/>
              <w:jc w:val="left"/>
              <w:rPr>
                <w:rFonts w:eastAsia="Times New Roman"/>
                <w:sz w:val="18"/>
                <w:szCs w:val="18"/>
              </w:rPr>
            </w:pPr>
            <w:r w:rsidRPr="00655D9E">
              <w:rPr>
                <w:rFonts w:eastAsia="Times New Roman"/>
                <w:sz w:val="18"/>
                <w:szCs w:val="18"/>
              </w:rP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усл. Блюдо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л/сут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рабюместо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душ.сетку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л/сут на 1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Водоотведение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5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6A77D1" w:rsidRDefault="00655D9E" w:rsidP="006A77D1">
            <w:pPr>
              <w:ind w:firstLine="0"/>
              <w:jc w:val="left"/>
              <w:rPr>
                <w:rFonts w:eastAsia="Times New Roman"/>
                <w:sz w:val="18"/>
                <w:szCs w:val="18"/>
              </w:rPr>
            </w:pPr>
            <w:r w:rsidRPr="00655D9E">
              <w:rPr>
                <w:rFonts w:eastAsia="Times New Roman"/>
                <w:sz w:val="18"/>
                <w:szCs w:val="18"/>
              </w:rPr>
              <w:t>2. Размеры земельного участка определяются в зависимости от производительности и типа сооружения</w:t>
            </w:r>
            <w:r w:rsidR="006A77D1">
              <w:rPr>
                <w:rFonts w:eastAsia="Times New Roman"/>
                <w:sz w:val="18"/>
                <w:szCs w:val="18"/>
              </w:rPr>
              <w:t>;</w:t>
            </w:r>
          </w:p>
          <w:p w:rsidR="00655D9E" w:rsidRPr="00655D9E" w:rsidRDefault="00655D9E" w:rsidP="006A77D1">
            <w:pPr>
              <w:ind w:firstLine="0"/>
              <w:jc w:val="left"/>
              <w:rPr>
                <w:rFonts w:eastAsia="Times New Roman"/>
                <w:sz w:val="18"/>
                <w:szCs w:val="18"/>
              </w:rPr>
            </w:pPr>
            <w:r w:rsidRPr="00655D9E">
              <w:rPr>
                <w:rFonts w:eastAsia="Times New Roman"/>
                <w:sz w:val="18"/>
                <w:szCs w:val="18"/>
              </w:rPr>
              <w:t>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6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3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связь и информатизация</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Антенно-мачтовые сооружения.</w:t>
            </w:r>
            <w:r w:rsidRPr="00655D9E">
              <w:rPr>
                <w:rFonts w:eastAsia="Times New Roman"/>
                <w:sz w:val="18"/>
                <w:szCs w:val="18"/>
              </w:rPr>
              <w:br/>
              <w:t>Автоматические телефонные станции.</w:t>
            </w:r>
            <w:r w:rsidRPr="00655D9E">
              <w:rPr>
                <w:rFonts w:eastAsia="Times New Roman"/>
                <w:sz w:val="18"/>
                <w:szCs w:val="18"/>
              </w:rPr>
              <w:br/>
              <w:t>Узлы мультисервисного доступа.                                     Линии электросвязи.</w:t>
            </w:r>
            <w:r w:rsidRPr="00655D9E">
              <w:rPr>
                <w:rFonts w:eastAsia="Times New Roman"/>
                <w:sz w:val="18"/>
                <w:szCs w:val="18"/>
              </w:rPr>
              <w:br/>
              <w:t>Линейно-кабельные сооружения электросвязи.</w:t>
            </w:r>
          </w:p>
        </w:tc>
        <w:tc>
          <w:tcPr>
            <w:tcW w:w="641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15026" w:type="dxa"/>
            <w:gridSpan w:val="8"/>
            <w:tcBorders>
              <w:top w:val="single" w:sz="8" w:space="0" w:color="auto"/>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655D9E" w:rsidRPr="00655D9E" w:rsidTr="00655D9E">
        <w:trPr>
          <w:trHeight w:val="780"/>
        </w:trPr>
        <w:tc>
          <w:tcPr>
            <w:tcW w:w="268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автомобильных дорог местного значения вне границ населенных пунктов в границах муниципального района, км/кв. км</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0,024</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w:t>
            </w:r>
            <w:r w:rsidRPr="00655D9E">
              <w:rPr>
                <w:rFonts w:eastAsia="Times New Roman"/>
                <w:sz w:val="18"/>
                <w:szCs w:val="18"/>
              </w:rPr>
              <w:lastRenderedPageBreak/>
              <w:t>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55D9E" w:rsidRPr="00655D9E" w:rsidTr="00655D9E">
        <w:trPr>
          <w:trHeight w:val="780"/>
        </w:trPr>
        <w:tc>
          <w:tcPr>
            <w:tcW w:w="2681" w:type="dxa"/>
            <w:gridSpan w:val="2"/>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улично-дорожной сети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см п. п. [1]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обособленные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изолированные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см п. 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регулируемого движения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улиц и дорог в красных линиях,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дороги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непрерывного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общегородского и районного значения регулируемого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новом строительстве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реконструкции</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боковых проездов,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магистральных дорог до линии регулирования жилой </w:t>
            </w:r>
            <w:r w:rsidRPr="00655D9E">
              <w:rPr>
                <w:rFonts w:eastAsia="Times New Roman"/>
                <w:sz w:val="18"/>
                <w:szCs w:val="18"/>
              </w:rPr>
              <w:lastRenderedPageBreak/>
              <w:t>застройки,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пешеходными переходами,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регулируемого движения в пределах застроенной территории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 м в одном уровне</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 в двух уровнях</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непрерывного движения</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 в двух уровнях</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автомобильных дорог общей сети</w:t>
            </w:r>
          </w:p>
        </w:tc>
        <w:tc>
          <w:tcPr>
            <w:tcW w:w="2114"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6416" w:type="dxa"/>
            <w:gridSpan w:val="3"/>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6.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7.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w:t>
            </w:r>
            <w:r w:rsidRPr="00655D9E">
              <w:rPr>
                <w:rFonts w:eastAsia="Times New Roman"/>
                <w:sz w:val="18"/>
                <w:szCs w:val="18"/>
              </w:rPr>
              <w:lastRenderedPageBreak/>
              <w:t xml:space="preserve">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8. 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Число полос движения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центральной разделительной полосы[7],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обочины,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Общая площадь полосы отвода под </w:t>
            </w:r>
            <w:r w:rsidRPr="00655D9E">
              <w:rPr>
                <w:rFonts w:eastAsia="Times New Roman"/>
                <w:sz w:val="18"/>
                <w:szCs w:val="18"/>
              </w:rPr>
              <w:lastRenderedPageBreak/>
              <w:t>автомобильную дорогу, га/км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категория IА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дорогах I-II категорий – 1000, на дорогах III категории – 600, на дорогах IV V категорий – 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Минимальная длина остановочной площадки, 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Минимальное расстояние между остановочными пунктами, км</w:t>
            </w:r>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автомобильных дорог I-III категорий –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Общественный пассажирский транспорт</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1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4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val="restart"/>
            <w:tcBorders>
              <w:top w:val="nil"/>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Автостанции</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(3/2)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Автогазозаправочные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15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Автокемпинги, мотели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объектами, км</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IА,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IВ, II, III, IV,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2,0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40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Автомойки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55D9E" w:rsidRPr="00655D9E" w:rsidRDefault="00655D9E" w:rsidP="00655D9E">
            <w:pPr>
              <w:ind w:firstLine="0"/>
              <w:jc w:val="left"/>
              <w:rPr>
                <w:rFonts w:eastAsia="Times New Roman"/>
                <w:sz w:val="18"/>
                <w:szCs w:val="18"/>
              </w:rPr>
            </w:pPr>
            <w:r w:rsidRPr="00655D9E">
              <w:rPr>
                <w:rFonts w:eastAsia="Times New Roman"/>
                <w:sz w:val="18"/>
                <w:szCs w:val="18"/>
              </w:rPr>
              <w:lastRenderedPageBreak/>
              <w:t>9. При проектировании и строительстве следует предусматривать:</w:t>
            </w:r>
            <w:r w:rsidRPr="00655D9E">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655D9E">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655D9E">
              <w:rPr>
                <w:rFonts w:eastAsia="Times New Roman"/>
                <w:sz w:val="18"/>
                <w:szCs w:val="18"/>
              </w:rPr>
              <w:br/>
              <w:t>- 1 машино-место на каждые 30 кв. метров встроенно-пристроенных нежилых помещений;</w:t>
            </w:r>
            <w:r w:rsidRPr="00655D9E">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655D9E">
              <w:rPr>
                <w:rFonts w:eastAsia="Times New Roman"/>
                <w:sz w:val="18"/>
                <w:szCs w:val="18"/>
              </w:rPr>
              <w:br/>
              <w:t>10.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11. Протяженность велодорожек должна быть не менее 500 м.</w:t>
            </w:r>
            <w:r w:rsidRPr="00655D9E">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655D9E">
              <w:rPr>
                <w:rFonts w:eastAsia="Times New Roman"/>
                <w:sz w:val="18"/>
                <w:szCs w:val="18"/>
              </w:rPr>
              <w:br/>
              <w:t>Минимальная обеспеченность жителей местами для хранения (стоянки) велосипедов принимается:</w:t>
            </w:r>
            <w:r w:rsidRPr="00655D9E">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655D9E">
              <w:rPr>
                <w:rFonts w:eastAsia="Times New Roman"/>
                <w:sz w:val="18"/>
                <w:szCs w:val="18"/>
              </w:rPr>
              <w:br/>
            </w:r>
            <w:r w:rsidRPr="00655D9E">
              <w:rPr>
                <w:rFonts w:eastAsia="Times New Roman"/>
                <w:sz w:val="18"/>
                <w:szCs w:val="18"/>
              </w:rPr>
              <w:lastRenderedPageBreak/>
              <w:t>объекты торговли, общественного питания, культуры, досуга - для 15 процентов от количества персонала и единовременных посетителей;</w:t>
            </w:r>
            <w:r w:rsidRPr="00655D9E">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655D9E">
              <w:rPr>
                <w:rFonts w:eastAsia="Times New Roman"/>
                <w:sz w:val="18"/>
                <w:szCs w:val="18"/>
              </w:rPr>
              <w:br/>
              <w:t xml:space="preserve">места проживания - не менее 1 места для хранения велосипеда на 1 квартиру; </w:t>
            </w: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 городского пассажирского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Транспортно-эксплуатационные предприятия городского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Парковки</w:t>
            </w: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Многоэтажная, среднеэтажная, малоэтажная многоквартирная жилая застройка [9]</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дошкольного, начального и среднего общего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среднего и высшего профессионального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w:t>
            </w:r>
            <w:r w:rsidRPr="00655D9E">
              <w:rPr>
                <w:rFonts w:eastAsia="Times New Roman"/>
                <w:sz w:val="18"/>
                <w:szCs w:val="18"/>
              </w:rPr>
              <w:br/>
              <w:t>- муниципального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Театры, цирки, кинотеатры, концертные залы, музеи, выставки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Торговые центры, универмаги, магазины с площадью торговых залов более 200 кв.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с торговой площадью менее 200 м2</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Рестораны и кафе</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 высшего разряда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Прочие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Больницы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Промышленные предприятия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Городские 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Пляжи и парки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Лесопарки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5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Базы кратковременного отдыха (спортивные, лыжные, рыболовные, охотничьи)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и базы отдыха, санатории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Туристские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Мотели и кемпинги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Спортивные здания и сооружения с трибунами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9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общественного питания, торговли и коммунально-бытового обслуживания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Вокзалы всех видов транспорта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Ботанические сады и зоопарки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530"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Велодорожки [11]</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образовательные учреждения</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общего типа</w:t>
            </w:r>
          </w:p>
        </w:tc>
        <w:tc>
          <w:tcPr>
            <w:tcW w:w="6416" w:type="dxa"/>
            <w:gridSpan w:val="3"/>
            <w:tcBorders>
              <w:top w:val="single" w:sz="8"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 км  пешеходной и 10 км транспортной доступности</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Дошкольные образовательные организации целесообразно предусматривать в населенных пунктах с численностью постоянного населения свыше 200 человек.</w:t>
            </w:r>
            <w:r w:rsidRPr="00655D9E">
              <w:rPr>
                <w:rFonts w:eastAsia="Times New Roman"/>
                <w:sz w:val="18"/>
                <w:szCs w:val="18"/>
              </w:rPr>
              <w:br/>
              <w:t xml:space="preserve">4.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5. Общее количество мест </w:t>
            </w:r>
            <w:r w:rsidRPr="00655D9E">
              <w:rPr>
                <w:rFonts w:eastAsia="Times New Roman"/>
                <w:sz w:val="18"/>
                <w:szCs w:val="18"/>
              </w:rPr>
              <w:lastRenderedPageBreak/>
              <w:t>дополнительного образования - 10 %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w:t>
            </w:r>
            <w:r w:rsidRPr="00655D9E">
              <w:rPr>
                <w:rFonts w:eastAsia="Times New Roman"/>
                <w:sz w:val="18"/>
                <w:szCs w:val="18"/>
              </w:rPr>
              <w:br/>
              <w:t>художественная, хореографическая школа – 2,7 %;</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100 мест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 мест</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групповой площадки на 1 место следует принимать не менее: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детей ясельного возраста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детей дошкольного возраста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специализированного типа</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оздоровительное</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0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учреждения</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учащихся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 ступень обучения (начальное общее образование 1-4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для учащихся I ступени обучения – 2 км  пешеходной и 10 км транспортной доступности;</w:t>
            </w:r>
            <w:r w:rsidRPr="00655D9E">
              <w:rPr>
                <w:rFonts w:eastAsia="Times New Roman"/>
                <w:sz w:val="18"/>
                <w:szCs w:val="18"/>
              </w:rPr>
              <w:br/>
              <w:t>для учащихся II - III ступеней – 4 км пешеходной и 10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 ступень обучения (основное общее образование 5-9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 ступень обучения (среднее (полное) образование 10-11 классы)[2]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600 до 800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800 до 1100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1100 до 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1500 до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8 % общего числа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Школы-интернаты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Организации дополнительного образования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уровень обеспеченности, мест[5]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Дворец (Дом) творчества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не более 30 мин, сельское поселение - рекомендуется предусматривать в зданиях школ</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техников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натуралистов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туристов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Детско-юношеская спортивная школа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Детская школа искусств (музыкальная, художественная, хореографическая)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95"/>
        </w:trPr>
        <w:tc>
          <w:tcPr>
            <w:tcW w:w="268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16" w:type="dxa"/>
            <w:gridSpan w:val="3"/>
            <w:tcBorders>
              <w:top w:val="single" w:sz="4" w:space="0" w:color="auto"/>
              <w:left w:val="nil"/>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от общего числа школьников</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655D9E" w:rsidRPr="00655D9E" w:rsidTr="00655D9E">
        <w:trPr>
          <w:trHeight w:val="55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Первичная медико-социальная помощь</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Станции (подстанции) скорой медицинской помощи</w:t>
            </w:r>
          </w:p>
        </w:tc>
        <w:tc>
          <w:tcPr>
            <w:tcW w:w="6416" w:type="dxa"/>
            <w:gridSpan w:val="3"/>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10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зоны 20 минутной доступности на специальном автомобиле</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 В условиях реконструкции возможно уменьшение участка на 25%, в пригородной зоне участок следует увеличивать на 15 - 25%);</w:t>
            </w:r>
            <w:r w:rsidRPr="00655D9E">
              <w:rPr>
                <w:rFonts w:eastAsia="Times New Roman"/>
                <w:sz w:val="18"/>
                <w:szCs w:val="18"/>
              </w:rPr>
              <w:br/>
              <w:t>для детской больницы увеличение участка в 1,5 раза;</w:t>
            </w:r>
            <w:r w:rsidRPr="00655D9E">
              <w:rPr>
                <w:rFonts w:eastAsia="Times New Roman"/>
                <w:sz w:val="18"/>
                <w:szCs w:val="18"/>
              </w:rPr>
              <w:br/>
              <w:t>по роддому коэф. 0,7 к нормативу стационара;</w:t>
            </w:r>
            <w:r w:rsidRPr="00655D9E">
              <w:rPr>
                <w:rFonts w:eastAsia="Times New Roman"/>
                <w:sz w:val="18"/>
                <w:szCs w:val="18"/>
              </w:rPr>
              <w:br/>
              <w:t xml:space="preserve">число коек (врачебных и </w:t>
            </w:r>
            <w:r w:rsidRPr="00655D9E">
              <w:rPr>
                <w:rFonts w:eastAsia="Times New Roman"/>
                <w:sz w:val="18"/>
                <w:szCs w:val="18"/>
              </w:rPr>
              <w:lastRenderedPageBreak/>
              <w:t>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 Размещение аптек возможно встроенно-пристроенное; в сельских поселениях, как правило, при амбулатории и фельдшерском или фельдшерско-акушерском пункте.</w:t>
            </w:r>
          </w:p>
        </w:tc>
      </w:tr>
      <w:tr w:rsidR="00655D9E" w:rsidRPr="00655D9E" w:rsidTr="00655D9E">
        <w:trPr>
          <w:trHeight w:val="93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Выдвижные пункты скорой медицинской помощи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5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(но не менее 2 машин)</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км (в пределах зоны 30-минутной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 амбулатории, диспансеры без стационара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посещений в смену на 1 тыс.чел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100 пос/смену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 (но не менее 0,3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Консультативно-диагностический центр</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Фельдшерские или фельдшерско-акушерские</w:t>
            </w:r>
            <w:r w:rsidRPr="00655D9E">
              <w:rPr>
                <w:rFonts w:eastAsia="Times New Roman"/>
                <w:sz w:val="18"/>
                <w:szCs w:val="18"/>
              </w:rPr>
              <w:br w:type="page"/>
              <w:t>пункты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бъектов на 300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Отделения общей врачебной (семейной) практики </w:t>
            </w: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семейной практики 1500 человек взрослого и детского населения</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30 мин. (с использованием транспорта)</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общей прак-тики 1200 человек взрослого населения в возрасте 18 лет и старше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помещение</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Организация стационарной медицинской помощи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Стационары всех типов, в том числе психоневрологический и наркологический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рекомендуемая обеспеченность 1 койка на 1000 жителей</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кв.м на 1 койку при вместимости организации: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300-200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100 - 200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200-140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200 - 400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400 - 800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100-80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800 - 1000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1000 коек см п. п.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(больницы) сестринского ухода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коек на 1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Раздаточные пункты молочных кухонь</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 на 1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6 - 8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минутная пешеходная доступность</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встроенные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Аптеки </w:t>
            </w: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кв. м общ. пл./объект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60-70</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 - 800 м, для сельских поселений - 30 мин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 [3]</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nil"/>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655D9E" w:rsidRPr="00655D9E" w:rsidTr="00655D9E">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Физическая культура и спорт</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2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площади пола на 1000 чел.,</w:t>
            </w:r>
          </w:p>
        </w:tc>
        <w:tc>
          <w:tcPr>
            <w:tcW w:w="22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муниципального района: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150               </w:t>
            </w:r>
          </w:p>
        </w:tc>
        <w:tc>
          <w:tcPr>
            <w:tcW w:w="16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655D9E">
              <w:rPr>
                <w:rFonts w:eastAsia="Times New Roman"/>
                <w:sz w:val="18"/>
                <w:szCs w:val="18"/>
              </w:rPr>
              <w:br/>
              <w:t>2. В сельских поселениях с численностью населения более 6 тыс. человек целесообразно предусматривать один плавательный бассейн на 212,5 кв. м зеркала воды (25х8,5).</w:t>
            </w:r>
            <w:r w:rsidRPr="00655D9E">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655D9E">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655D9E">
              <w:rPr>
                <w:rFonts w:eastAsia="Times New Roman"/>
                <w:sz w:val="18"/>
                <w:szCs w:val="18"/>
              </w:rPr>
              <w:br/>
              <w:t xml:space="preserve">5. При расчете потребности населения в плоскостных </w:t>
            </w:r>
            <w:r w:rsidRPr="00655D9E">
              <w:rPr>
                <w:rFonts w:eastAsia="Times New Roman"/>
                <w:sz w:val="18"/>
                <w:szCs w:val="18"/>
              </w:rPr>
              <w:lastRenderedPageBreak/>
              <w:t xml:space="preserve">сооружениях рекомендуется учитывать плоскостные сооружения регионального значения (при наличии), местного значения муниципального района и поселения. </w:t>
            </w:r>
          </w:p>
          <w:p w:rsidR="00655D9E" w:rsidRPr="00655D9E" w:rsidRDefault="00655D9E" w:rsidP="00655D9E">
            <w:pPr>
              <w:ind w:firstLine="0"/>
              <w:jc w:val="left"/>
              <w:rPr>
                <w:rFonts w:eastAsia="Times New Roman"/>
                <w:sz w:val="18"/>
                <w:szCs w:val="18"/>
              </w:rPr>
            </w:pPr>
            <w:r w:rsidRPr="00655D9E">
              <w:rPr>
                <w:rFonts w:eastAsia="Times New Roman"/>
                <w:sz w:val="18"/>
                <w:szCs w:val="18"/>
              </w:rPr>
              <w:t>6. Размеры земельных участков для учреждений санаторно-курортных, отдыха и туризма принимать в соответствии с приложением Ж СП 42.13330.2011</w:t>
            </w: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3,0 до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зеркала воды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Плоскостные спортивные сооружения, </w:t>
            </w:r>
            <w:r w:rsidRPr="00655D9E">
              <w:rPr>
                <w:rFonts w:eastAsia="Times New Roman"/>
                <w:sz w:val="18"/>
                <w:szCs w:val="18"/>
              </w:rPr>
              <w:lastRenderedPageBreak/>
              <w:t>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м²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3700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Помещения для физкультурно-оздоровительных занятий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Гребные базы</w:t>
            </w:r>
          </w:p>
        </w:tc>
        <w:tc>
          <w:tcPr>
            <w:tcW w:w="450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655D9E" w:rsidRPr="00655D9E" w:rsidTr="00655D9E">
        <w:trPr>
          <w:trHeight w:val="1545"/>
        </w:trPr>
        <w:tc>
          <w:tcPr>
            <w:tcW w:w="268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по переработке промышленных, бытовых и биологических отходов: Мусороперерабатывающие заводы.</w:t>
            </w:r>
            <w:r w:rsidRPr="00655D9E">
              <w:rPr>
                <w:rFonts w:eastAsia="Times New Roman"/>
                <w:sz w:val="18"/>
                <w:szCs w:val="18"/>
              </w:rPr>
              <w:br w:type="page"/>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Мощность,</w:t>
            </w:r>
            <w:r w:rsidRPr="00655D9E">
              <w:rPr>
                <w:rFonts w:eastAsia="Times New Roman"/>
                <w:sz w:val="18"/>
                <w:szCs w:val="18"/>
              </w:rPr>
              <w:br w:type="page"/>
              <w:t>тонн/чел.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1.</w:t>
            </w:r>
            <w:r w:rsidR="00655D9E" w:rsidRPr="00655D9E">
              <w:rPr>
                <w:rFonts w:eastAsia="Times New Roman"/>
                <w:sz w:val="18"/>
                <w:szCs w:val="18"/>
              </w:rPr>
              <w:t>Размеры земельных участков объектов по утилизации и переработке твёрдых коммунальных отходов устанавливаются в соответствии с таблицей 13 СП</w:t>
            </w:r>
            <w:r w:rsidR="00655D9E" w:rsidRPr="00655D9E">
              <w:rPr>
                <w:rFonts w:eastAsia="Times New Roman"/>
                <w:sz w:val="18"/>
                <w:szCs w:val="18"/>
              </w:rPr>
              <w:br w:type="page"/>
              <w:t>42.13330.2011.</w:t>
            </w:r>
            <w:r w:rsidR="00655D9E"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2.</w:t>
            </w:r>
            <w:r w:rsidR="00655D9E" w:rsidRPr="00655D9E">
              <w:rPr>
                <w:rFonts w:eastAsia="Times New Roman"/>
                <w:sz w:val="18"/>
                <w:szCs w:val="18"/>
              </w:rPr>
              <w:t>Количество площадок для</w:t>
            </w:r>
            <w:r w:rsidR="00655D9E" w:rsidRPr="00655D9E">
              <w:rPr>
                <w:rFonts w:eastAsia="Times New Roman"/>
                <w:sz w:val="18"/>
                <w:szCs w:val="18"/>
              </w:rPr>
              <w:br w:type="page"/>
              <w:t xml:space="preserve">установки контейнеров в населенном пункте определяется исходя из </w:t>
            </w:r>
            <w:r w:rsidR="00655D9E" w:rsidRPr="00655D9E">
              <w:rPr>
                <w:rFonts w:eastAsia="Times New Roman"/>
                <w:sz w:val="18"/>
                <w:szCs w:val="18"/>
              </w:rPr>
              <w:lastRenderedPageBreak/>
              <w:t>численности населения, объёма образования отходов, и необходимого для населенного пункта числа контейнеров для сбора мусора.</w:t>
            </w:r>
            <w:r w:rsidR="00655D9E" w:rsidRPr="00655D9E">
              <w:rPr>
                <w:rFonts w:eastAsia="Times New Roman"/>
                <w:sz w:val="18"/>
                <w:szCs w:val="18"/>
              </w:rPr>
              <w:br w:type="page"/>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00655D9E" w:rsidRPr="00655D9E">
              <w:rPr>
                <w:rFonts w:eastAsia="Times New Roman"/>
                <w:sz w:val="18"/>
                <w:szCs w:val="18"/>
              </w:rPr>
              <w:br w:type="page"/>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655D9E" w:rsidRPr="00655D9E">
              <w:rPr>
                <w:rFonts w:eastAsia="Times New Roman"/>
                <w:sz w:val="18"/>
                <w:szCs w:val="18"/>
              </w:rPr>
              <w:br w:type="page"/>
            </w:r>
          </w:p>
          <w:p w:rsidR="00655D9E" w:rsidRPr="00655D9E" w:rsidRDefault="006A77D1" w:rsidP="00655D9E">
            <w:pPr>
              <w:ind w:firstLine="0"/>
              <w:jc w:val="left"/>
              <w:rPr>
                <w:rFonts w:eastAsia="Times New Roman"/>
                <w:sz w:val="18"/>
                <w:szCs w:val="18"/>
              </w:rPr>
            </w:pPr>
            <w:r>
              <w:rPr>
                <w:rFonts w:eastAsia="Times New Roman"/>
                <w:sz w:val="18"/>
                <w:szCs w:val="18"/>
              </w:rPr>
              <w:t>3.</w:t>
            </w:r>
            <w:r w:rsidR="00655D9E" w:rsidRPr="00655D9E">
              <w:rPr>
                <w:rFonts w:eastAsia="Times New Roman"/>
                <w:sz w:val="18"/>
                <w:szCs w:val="18"/>
              </w:rPr>
              <w:t>В соответствии с требованиями СанПиН 42-128-4690-88.</w:t>
            </w:r>
            <w:r w:rsidR="00655D9E" w:rsidRPr="00655D9E">
              <w:rPr>
                <w:rFonts w:eastAsia="Times New Roman"/>
                <w:sz w:val="18"/>
                <w:szCs w:val="18"/>
              </w:rPr>
              <w:br w:type="page"/>
            </w:r>
          </w:p>
        </w:tc>
      </w:tr>
      <w:tr w:rsidR="00655D9E" w:rsidRPr="00655D9E" w:rsidTr="00655D9E">
        <w:trPr>
          <w:trHeight w:val="82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частных домов с печным отоплением, не имеющих водопровода и канализации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Нормы образования крупногабаритных отходов следует принимать в % от приведенных значений.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на 1 тыс. тонн твердых коммунальных отходов [1]: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 мощностью, тыс. т в год</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Площадки для установки контейнеров для сбора мусора </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участка[3],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от скотомогильника (биотермической ямы), м</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w:t>
            </w:r>
            <w:r w:rsidRPr="00655D9E">
              <w:rPr>
                <w:rFonts w:eastAsia="Times New Roman"/>
                <w:b/>
                <w:bCs/>
                <w:sz w:val="18"/>
                <w:szCs w:val="18"/>
              </w:rPr>
              <w:br/>
              <w:t xml:space="preserve"> связанных с решением вопросов местного значения</w:t>
            </w:r>
          </w:p>
        </w:tc>
      </w:tr>
      <w:tr w:rsidR="00655D9E" w:rsidRPr="00655D9E" w:rsidTr="00655D9E">
        <w:trPr>
          <w:trHeight w:val="52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архивного дела</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архив</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 xml:space="preserve">Примечание:                                                              1. Распоряжение Правительства Белгородской области от 12.04.2010 № 143-рп «О </w:t>
            </w:r>
            <w:r w:rsidRPr="00655D9E">
              <w:rPr>
                <w:rFonts w:eastAsia="Times New Roman"/>
                <w:sz w:val="18"/>
                <w:szCs w:val="18"/>
              </w:rPr>
              <w:lastRenderedPageBreak/>
              <w:t>нормативах по минимальному обеспечению молодежи</w:t>
            </w:r>
            <w:r w:rsidRPr="00655D9E">
              <w:rPr>
                <w:rFonts w:eastAsia="Times New Roman"/>
                <w:sz w:val="18"/>
                <w:szCs w:val="18"/>
              </w:rPr>
              <w:br/>
              <w:t xml:space="preserve">региональными и муниципальными учреждениями по месту жительства».               </w:t>
            </w:r>
          </w:p>
          <w:p w:rsidR="00655D9E" w:rsidRPr="00655D9E" w:rsidRDefault="00655D9E" w:rsidP="006A77D1">
            <w:pPr>
              <w:ind w:firstLine="0"/>
              <w:jc w:val="left"/>
              <w:rPr>
                <w:rFonts w:eastAsia="Times New Roman"/>
                <w:sz w:val="18"/>
                <w:szCs w:val="18"/>
              </w:rPr>
            </w:pPr>
            <w:r w:rsidRPr="00655D9E">
              <w:rPr>
                <w:rFonts w:eastAsia="Times New Roman"/>
                <w:sz w:val="18"/>
                <w:szCs w:val="18"/>
              </w:rP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655D9E">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655D9E">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655D9E">
              <w:rPr>
                <w:rFonts w:eastAsia="Times New Roman"/>
                <w:sz w:val="18"/>
                <w:szCs w:val="18"/>
              </w:rPr>
              <w:br/>
              <w:t xml:space="preserve">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w:t>
            </w:r>
            <w:r w:rsidRPr="00655D9E">
              <w:rPr>
                <w:rFonts w:eastAsia="Times New Roman"/>
                <w:sz w:val="18"/>
                <w:szCs w:val="18"/>
              </w:rPr>
              <w:lastRenderedPageBreak/>
              <w:t>других целей) в соответствии с разделом 6 СП 40.13330.2012.</w:t>
            </w:r>
            <w:r w:rsidRPr="00655D9E">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006A77D1">
              <w:rPr>
                <w:rFonts w:eastAsia="Times New Roman"/>
                <w:sz w:val="18"/>
                <w:szCs w:val="18"/>
              </w:rPr>
              <w:t>10</w:t>
            </w:r>
            <w:r w:rsidRPr="00655D9E">
              <w:rPr>
                <w:rFonts w:eastAsia="Times New Roman"/>
                <w:sz w:val="18"/>
                <w:szCs w:val="18"/>
              </w:rPr>
              <w:t>.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вместимость, </w:t>
            </w:r>
            <w:r w:rsidRPr="00655D9E">
              <w:rPr>
                <w:rFonts w:eastAsia="Times New Roman"/>
                <w:sz w:val="18"/>
                <w:szCs w:val="18"/>
              </w:rPr>
              <w:lastRenderedPageBreak/>
              <w:t>млн. единиц хранения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до 0,5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0,5 до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 до 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00"/>
        </w:trPr>
        <w:tc>
          <w:tcPr>
            <w:tcW w:w="567" w:type="dxa"/>
            <w:tcBorders>
              <w:top w:val="nil"/>
              <w:left w:val="single" w:sz="8" w:space="0" w:color="auto"/>
              <w:bottom w:val="nil"/>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молодежной политики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по работе с детьми и</w:t>
            </w:r>
            <w:r w:rsidRPr="00655D9E">
              <w:rPr>
                <w:rFonts w:eastAsia="Times New Roman"/>
                <w:sz w:val="18"/>
                <w:szCs w:val="18"/>
              </w:rPr>
              <w:br/>
              <w:t>молодежью (Муниципальные Дома молодежи)</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645"/>
        </w:trPr>
        <w:tc>
          <w:tcPr>
            <w:tcW w:w="567"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муниципального жилищного фонда</w:t>
            </w:r>
          </w:p>
        </w:tc>
        <w:tc>
          <w:tcPr>
            <w:tcW w:w="2114"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Учѐтная норма площади жилого помещения [2]</w:t>
            </w:r>
          </w:p>
        </w:tc>
        <w:tc>
          <w:tcPr>
            <w:tcW w:w="6416" w:type="dxa"/>
            <w:gridSpan w:val="3"/>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114" w:type="dxa"/>
            <w:vMerge w:val="restart"/>
            <w:tcBorders>
              <w:top w:val="nil"/>
              <w:left w:val="single" w:sz="4" w:space="0" w:color="auto"/>
              <w:bottom w:val="nil"/>
              <w:right w:val="single" w:sz="4" w:space="0" w:color="000000"/>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Пожарное депо</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пожарное депо, автомобилей</w:t>
            </w:r>
          </w:p>
        </w:tc>
        <w:tc>
          <w:tcPr>
            <w:tcW w:w="22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20 до 50 тыс. человек </w:t>
            </w:r>
          </w:p>
        </w:tc>
        <w:tc>
          <w:tcPr>
            <w:tcW w:w="1545"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пожарных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8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пола помещений, кв. м на одного укрываемого [4]:</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- 500 м см п. п. [9]</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пола помещений, кв. м на одного укрываемого [4]: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- 3000 м, при подвозе укрываемых автотранспортом – 25 км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Гидротехнические сооружения (противопаводковые дамбы).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торговли и общественного питания</w:t>
            </w:r>
          </w:p>
        </w:tc>
        <w:tc>
          <w:tcPr>
            <w:tcW w:w="2114" w:type="dxa"/>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городские населенные пункты:</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сельские населенные пункты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 розничной торговли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Га на 100 мест  </w:t>
            </w:r>
            <w:r w:rsidRPr="00655D9E">
              <w:rPr>
                <w:rFonts w:eastAsia="Times New Roman"/>
                <w:sz w:val="18"/>
                <w:szCs w:val="18"/>
              </w:rPr>
              <w:lastRenderedPageBreak/>
              <w:t>[</w:t>
            </w:r>
            <w:r w:rsidR="006A77D1">
              <w:rPr>
                <w:rFonts w:eastAsia="Times New Roman"/>
                <w:sz w:val="18"/>
                <w:szCs w:val="18"/>
              </w:rPr>
              <w:t>10</w:t>
            </w:r>
            <w:r w:rsidRPr="00655D9E">
              <w:rPr>
                <w:rFonts w:eastAsia="Times New Roman"/>
                <w:sz w:val="18"/>
                <w:szCs w:val="18"/>
              </w:rPr>
              <w:t>]:</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бытового обслуживания</w:t>
            </w: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бытового обслуживанияя:</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- 800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Размер земельного участка, Га на 10 рабочих мест [</w:t>
            </w:r>
            <w:r w:rsidR="006A77D1">
              <w:rPr>
                <w:rFonts w:eastAsia="Times New Roman"/>
                <w:sz w:val="18"/>
                <w:szCs w:val="18"/>
              </w:rPr>
              <w:t>10</w:t>
            </w:r>
            <w:r w:rsidRPr="00655D9E">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0,05-0,08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0,03-0,04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Прачечные и химчистки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Химчистки</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Пункты приѐма вторичного сырья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кредитно-финансовых учреждений и учреждений жилищно-коммунального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банков</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транспортной доступности</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7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и филиалы сберегательного банка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индивидуальная и малоэтажная жилая застройка – 800;</w:t>
            </w:r>
            <w:r w:rsidRPr="00655D9E">
              <w:rPr>
                <w:rFonts w:eastAsia="Times New Roman"/>
                <w:sz w:val="18"/>
                <w:szCs w:val="18"/>
              </w:rPr>
              <w:br/>
              <w:t>сельские населенные пункты: в пределах населенного пункта</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почтовой связи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почтовой связи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нормам и правилам Министерства связи Российской Федерации</w:t>
            </w:r>
          </w:p>
        </w:tc>
        <w:tc>
          <w:tcPr>
            <w:tcW w:w="2729" w:type="dxa"/>
            <w:vMerge w:val="restart"/>
            <w:tcBorders>
              <w:top w:val="nil"/>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Максимально допустимый уровень территориальной доступности для городских населенных пунктов:</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для сельских населенных пунктов: в пределах населенного пункта;</w:t>
            </w: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п.п. [1]</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сельского поселения,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1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предоставления услуг по организации досуга и услуг организаций культуры</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Православные Храмы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по согласованию с местной епархией</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55D9E" w:rsidRPr="00655D9E" w:rsidRDefault="00655D9E" w:rsidP="00655D9E">
            <w:pPr>
              <w:spacing w:after="240"/>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утвержденная Распоряжением</w:t>
            </w:r>
            <w:r w:rsidRPr="00655D9E">
              <w:rPr>
                <w:rFonts w:eastAsia="Times New Roman"/>
                <w:sz w:val="18"/>
                <w:szCs w:val="18"/>
              </w:rPr>
              <w:br/>
              <w:t>Правительства Российской Федерации от 19.10.1999 № 1683-р.</w:t>
            </w:r>
            <w:r w:rsidRPr="00655D9E">
              <w:rPr>
                <w:rFonts w:eastAsia="Times New Roman"/>
                <w:sz w:val="18"/>
                <w:szCs w:val="18"/>
              </w:rPr>
              <w:br/>
              <w:t xml:space="preserve">2.   Социальные нормативы и нормы, утвержденные </w:t>
            </w:r>
            <w:r w:rsidRPr="00655D9E">
              <w:rPr>
                <w:rFonts w:eastAsia="Times New Roman"/>
                <w:sz w:val="18"/>
                <w:szCs w:val="18"/>
              </w:rPr>
              <w:lastRenderedPageBreak/>
              <w:t>Распоряжением Правительства Российской Федерации от 03.07.1996 № 1063-р.</w:t>
            </w:r>
            <w:r w:rsidRPr="00655D9E">
              <w:rPr>
                <w:rFonts w:eastAsia="Times New Roman"/>
                <w:sz w:val="18"/>
                <w:szCs w:val="18"/>
              </w:rPr>
              <w:br/>
              <w:t>3.   Детские библиотеки сельских поселений следует размещать в административных центрах сельских поселений как самостоятельные учреждения, так и в качестве структурных подразделений общедоступных поселенческих библиотек сельских поселений.</w:t>
            </w:r>
            <w:r w:rsidRPr="00655D9E">
              <w:rPr>
                <w:rFonts w:eastAsia="Times New Roman"/>
                <w:sz w:val="18"/>
                <w:szCs w:val="18"/>
              </w:rPr>
              <w:b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655D9E">
              <w:rPr>
                <w:rFonts w:eastAsia="Times New Roman"/>
                <w:sz w:val="18"/>
                <w:szCs w:val="18"/>
              </w:rPr>
              <w:br/>
              <w:t>5.   Мощностная характеристика центрального учреждения культуры клубного типа муниципального района должна составлять не менее 500 зрительских мест.</w:t>
            </w:r>
            <w:r w:rsidRPr="00655D9E">
              <w:rPr>
                <w:rFonts w:eastAsia="Times New Roman"/>
                <w:sz w:val="18"/>
                <w:szCs w:val="18"/>
              </w:rPr>
              <w:br/>
              <w:t>6.   В зависимости от состава и объема фондов выставочные залы и картинные галереи могут являться структурными подразделениями музеев.</w:t>
            </w:r>
            <w:r w:rsidRPr="00655D9E">
              <w:rPr>
                <w:rFonts w:eastAsia="Times New Roman"/>
                <w:sz w:val="18"/>
                <w:szCs w:val="18"/>
              </w:rPr>
              <w:b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655D9E">
              <w:rPr>
                <w:rFonts w:eastAsia="Times New Roman"/>
                <w:sz w:val="18"/>
                <w:szCs w:val="18"/>
              </w:rPr>
              <w:br/>
              <w:t>8.   Кинотеатр рекомендуется размещать в административном центре муниципального района.                                                              9. Для сельских поселений:</w:t>
            </w:r>
            <w:r w:rsidRPr="00655D9E">
              <w:rPr>
                <w:rFonts w:eastAsia="Times New Roman"/>
                <w:sz w:val="18"/>
                <w:szCs w:val="18"/>
              </w:rPr>
              <w:br/>
            </w:r>
            <w:r w:rsidRPr="00655D9E">
              <w:rPr>
                <w:rFonts w:eastAsia="Times New Roman"/>
                <w:sz w:val="18"/>
                <w:szCs w:val="18"/>
              </w:rPr>
              <w:lastRenderedPageBreak/>
              <w:t>Общедоступные поселенческие библиотеки:</w:t>
            </w:r>
            <w:r w:rsidRPr="00655D9E">
              <w:rPr>
                <w:rFonts w:eastAsia="Times New Roman"/>
                <w:sz w:val="18"/>
                <w:szCs w:val="18"/>
              </w:rPr>
              <w:br/>
              <w:t>-1 на населенный пункт, являющийся административным центром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более 5 км от административного центра поселения.</w:t>
            </w:r>
            <w:r w:rsidRPr="00655D9E">
              <w:rPr>
                <w:rFonts w:eastAsia="Times New Roman"/>
                <w:sz w:val="18"/>
                <w:szCs w:val="18"/>
              </w:rPr>
              <w:br/>
              <w:t>Филиалы поселенческих библиотек:</w:t>
            </w:r>
            <w:r w:rsidRPr="00655D9E">
              <w:rPr>
                <w:rFonts w:eastAsia="Times New Roman"/>
                <w:sz w:val="18"/>
                <w:szCs w:val="18"/>
              </w:rPr>
              <w:br/>
              <w:t>- 1 на населенный пункт с численностью населения до 500 человек, расположенный на расстоянии более 5 км от административного центра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менее 5 км от административного центра поселения.</w:t>
            </w:r>
            <w:r w:rsidRPr="00655D9E">
              <w:rPr>
                <w:rFonts w:eastAsia="Times New Roman"/>
                <w:sz w:val="18"/>
                <w:szCs w:val="18"/>
              </w:rPr>
              <w:br/>
              <w:t>Библиотечные пункты:</w:t>
            </w:r>
            <w:r w:rsidRPr="00655D9E">
              <w:rPr>
                <w:rFonts w:eastAsia="Times New Roman"/>
                <w:sz w:val="18"/>
                <w:szCs w:val="18"/>
              </w:rPr>
              <w:br/>
              <w:t>- 1 на населенный пункт с численностью населения до 500 человек, расположенный на расстоянии менее 5 км от административного центра поселения.</w:t>
            </w:r>
            <w:r w:rsidRPr="00655D9E">
              <w:rPr>
                <w:rFonts w:eastAsia="Times New Roman"/>
                <w:sz w:val="18"/>
                <w:szCs w:val="18"/>
              </w:rPr>
              <w:br/>
            </w:r>
            <w:r w:rsidRPr="00655D9E">
              <w:rPr>
                <w:rFonts w:eastAsia="Times New Roman"/>
                <w:sz w:val="18"/>
                <w:szCs w:val="18"/>
              </w:rPr>
              <w:br/>
            </w:r>
          </w:p>
        </w:tc>
      </w:tr>
      <w:tr w:rsidR="00655D9E" w:rsidRPr="00655D9E" w:rsidTr="00655D9E">
        <w:trPr>
          <w:trHeight w:val="6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Библиотеки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Массовая библиотека</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п.п. [9]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библиотеки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Юношеские библиотеки</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культурно-досугового типа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Музеи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Кинотеатры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Выставочные залы, картинные галереи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туризма и рекреации</w:t>
            </w:r>
          </w:p>
        </w:tc>
        <w:tc>
          <w:tcPr>
            <w:tcW w:w="2114" w:type="dxa"/>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Зоны массового кратковременного отдыха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 мин на транспорте</w:t>
            </w:r>
          </w:p>
        </w:tc>
        <w:tc>
          <w:tcPr>
            <w:tcW w:w="2729" w:type="dxa"/>
            <w:vMerge w:val="restart"/>
            <w:tcBorders>
              <w:top w:val="nil"/>
              <w:left w:val="single" w:sz="4" w:space="0" w:color="auto"/>
              <w:bottom w:val="single" w:sz="4" w:space="0" w:color="000000"/>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655D9E">
              <w:rPr>
                <w:rFonts w:eastAsia="Times New Roman"/>
                <w:sz w:val="18"/>
                <w:szCs w:val="18"/>
              </w:rPr>
              <w:br/>
              <w:t xml:space="preserve">2.   Расчетные показатели минимально допустимой </w:t>
            </w:r>
            <w:r w:rsidRPr="00655D9E">
              <w:rPr>
                <w:rFonts w:eastAsia="Times New Roman"/>
                <w:sz w:val="18"/>
                <w:szCs w:val="18"/>
              </w:rPr>
              <w:lastRenderedPageBreak/>
              <w:t>площади территории для размещения речных и озерных пляжей и протяженности берегово й полосы данных пляжей на одного посетителя установлены в соответствии с п. 9.32 СП 42.13330.2011.                                                 3. Значение расчетного показателя принято в соответствии с СП 42.13330.2011.</w:t>
            </w:r>
          </w:p>
        </w:tc>
      </w:tr>
      <w:tr w:rsidR="00655D9E" w:rsidRPr="00655D9E" w:rsidTr="00655D9E">
        <w:trPr>
          <w:trHeight w:val="8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Территории общего пользования рекреационного назначения</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Малый город, поселок городского типа</w:t>
            </w:r>
          </w:p>
        </w:tc>
        <w:tc>
          <w:tcPr>
            <w:tcW w:w="154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Га на 1 объект:                    </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3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1 тыс.чел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nil"/>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Проходы к береговым полосам водных объектов общего пользования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м</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Коллективные средства размещения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для размещения объекта [3], кв. м на 1 место</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промышленности и сельского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18.13330.2011.</w:t>
            </w:r>
            <w:r w:rsidRPr="00655D9E">
              <w:rPr>
                <w:rFonts w:eastAsia="Times New Roman"/>
                <w:sz w:val="18"/>
                <w:szCs w:val="18"/>
              </w:rPr>
              <w:br/>
              <w:t>2.   Значение расчетного показателя принято в соответствии с СП 19.13330.2011.</w:t>
            </w:r>
            <w:r w:rsidRPr="00655D9E">
              <w:rPr>
                <w:rFonts w:eastAsia="Times New Roman"/>
                <w:sz w:val="18"/>
                <w:szCs w:val="18"/>
              </w:rPr>
              <w:br/>
              <w:t>3.   Значение расчетного показателя принято в соответствии с СП 42.13330.2011.</w:t>
            </w: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Обогатительные</w:t>
            </w:r>
            <w:r w:rsidRPr="00655D9E">
              <w:rPr>
                <w:rFonts w:eastAsia="Times New Roman"/>
                <w:sz w:val="18"/>
                <w:szCs w:val="18"/>
              </w:rPr>
              <w:br w:type="page"/>
              <w:t>железной руды и по производству окатыщей</w:t>
            </w:r>
            <w:r w:rsidRPr="00655D9E">
              <w:rPr>
                <w:rFonts w:eastAsia="Times New Roman"/>
                <w:sz w:val="18"/>
                <w:szCs w:val="18"/>
              </w:rPr>
              <w:br w:type="page"/>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7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целлюлозно-бумажной</w:t>
            </w:r>
            <w:r w:rsidRPr="00655D9E">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5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Технологического</w:t>
            </w:r>
            <w:r w:rsidRPr="00655D9E">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Мясные с полным</w:t>
            </w:r>
            <w:r w:rsidRPr="00655D9E">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товарные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6000 и 9000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шубные и мясо-шерстно-</w:t>
            </w:r>
            <w:r w:rsidRPr="00655D9E">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2000 и 3000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0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400-500 тыс. кур-</w:t>
            </w:r>
            <w:r w:rsidRPr="00655D9E">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w:t>
            </w:r>
            <w:r w:rsidRPr="00655D9E">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100 тыс.</w:t>
            </w:r>
            <w:r w:rsidRPr="00655D9E">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Племрепродуктор на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и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или</w:t>
            </w:r>
            <w:r w:rsidRPr="00655D9E">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Фермерские                     (крестьянские) хозяйства</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Сахарные заводы при</w:t>
            </w:r>
            <w:r w:rsidRPr="00655D9E">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Хлеба и хлебобулочных</w:t>
            </w:r>
            <w:r w:rsidRPr="00655D9E">
              <w:rPr>
                <w:rFonts w:eastAsia="Times New Roman"/>
                <w:sz w:val="18"/>
                <w:szCs w:val="18"/>
              </w:rPr>
              <w:br/>
              <w:t xml:space="preserve">изделий </w:t>
            </w:r>
            <w:r w:rsidRPr="00655D9E">
              <w:rPr>
                <w:rFonts w:eastAsia="Times New Roman"/>
                <w:sz w:val="18"/>
                <w:szCs w:val="18"/>
              </w:rPr>
              <w:lastRenderedPageBreak/>
              <w:t>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до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Парфюмерно-</w:t>
            </w:r>
            <w:r w:rsidRPr="00655D9E">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Плодоовощных</w:t>
            </w:r>
            <w:r w:rsidRPr="00655D9E">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молока</w:t>
            </w:r>
            <w:r w:rsidRPr="00655D9E">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складов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57"/>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складов [3],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2"/>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63"/>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 овощехранилища,</w:t>
            </w:r>
            <w:r w:rsidRPr="00655D9E">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в области инвестиционной деятельности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горнорудного комплекса</w:t>
            </w:r>
          </w:p>
        </w:tc>
        <w:tc>
          <w:tcPr>
            <w:tcW w:w="641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научно-инновационной сферы деятельности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туризма и рекреации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агропромышленного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строительного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жилищного строительства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прочих направлений экономики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2B3703">
        <w:trPr>
          <w:trHeight w:val="540"/>
        </w:trPr>
        <w:tc>
          <w:tcPr>
            <w:tcW w:w="2681" w:type="dxa"/>
            <w:gridSpan w:val="2"/>
            <w:vMerge w:val="restart"/>
            <w:tcBorders>
              <w:top w:val="single" w:sz="4" w:space="0" w:color="auto"/>
              <w:left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Места погребения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right w:val="single" w:sz="8" w:space="0" w:color="auto"/>
            </w:tcBorders>
            <w:shd w:val="clear" w:color="auto" w:fill="auto"/>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В соответствии с Приложением Ж СП 42.13330.2011.</w:t>
            </w:r>
          </w:p>
        </w:tc>
      </w:tr>
      <w:tr w:rsidR="00655D9E" w:rsidRPr="00655D9E" w:rsidTr="002B3703">
        <w:trPr>
          <w:trHeight w:val="585"/>
        </w:trPr>
        <w:tc>
          <w:tcPr>
            <w:tcW w:w="2681" w:type="dxa"/>
            <w:gridSpan w:val="2"/>
            <w:vMerge/>
            <w:tcBorders>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left w:val="single" w:sz="4" w:space="0" w:color="auto"/>
              <w:bottom w:val="single" w:sz="8" w:space="0" w:color="000000"/>
              <w:right w:val="single" w:sz="8" w:space="0" w:color="auto"/>
            </w:tcBorders>
            <w:vAlign w:val="center"/>
          </w:tcPr>
          <w:p w:rsidR="00655D9E" w:rsidRPr="00655D9E" w:rsidRDefault="00655D9E" w:rsidP="00655D9E">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066622">
        <w:rPr>
          <w:rFonts w:ascii="Times New Roman" w:hAnsi="Times New Roman" w:cs="Times New Roman"/>
          <w:sz w:val="28"/>
          <w:szCs w:val="28"/>
        </w:rPr>
        <w:t>Краснояружск</w:t>
      </w:r>
      <w:r w:rsidR="000276BB" w:rsidRPr="002B3703">
        <w:rPr>
          <w:rFonts w:ascii="Times New Roman" w:hAnsi="Times New Roman" w:cs="Times New Roman"/>
          <w:sz w:val="28"/>
          <w:szCs w:val="28"/>
        </w:rPr>
        <w:t>ого района Белгородской области</w:t>
      </w:r>
      <w:r w:rsidRPr="002B3703">
        <w:rPr>
          <w:rFonts w:ascii="Times New Roman" w:hAnsi="Times New Roman" w:cs="Times New Roman"/>
          <w:sz w:val="28"/>
          <w:szCs w:val="28"/>
        </w:rPr>
        <w:t>, применяются при подготовке и внесении изменений в схему территориального планирования муниципальных районов,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 xml:space="preserve">ого района Белгородской </w:t>
      </w:r>
      <w:r w:rsidR="000276BB">
        <w:rPr>
          <w:rFonts w:ascii="Times New Roman" w:hAnsi="Times New Roman" w:cs="Times New Roman"/>
          <w:sz w:val="28"/>
          <w:szCs w:val="28"/>
        </w:rPr>
        <w:lastRenderedPageBreak/>
        <w:t>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066622">
        <w:rPr>
          <w:rFonts w:ascii="Times New Roman" w:hAnsi="Times New Roman" w:cs="Times New Roman"/>
          <w:sz w:val="28"/>
          <w:szCs w:val="28"/>
        </w:rPr>
        <w:t>Краснояружск</w:t>
      </w:r>
      <w:r w:rsidR="000276BB">
        <w:rPr>
          <w:rFonts w:ascii="Times New Roman" w:hAnsi="Times New Roman" w:cs="Times New Roman"/>
          <w:sz w:val="28"/>
          <w:szCs w:val="28"/>
        </w:rPr>
        <w:t>ого района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EA51D0"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EA51D0">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EA51D0">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EA51D0">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66622">
        <w:rPr>
          <w:rFonts w:ascii="Times New Roman" w:hAnsi="Times New Roman" w:cs="Times New Roman"/>
          <w:sz w:val="28"/>
          <w:szCs w:val="28"/>
        </w:rPr>
        <w:t>Краснояружск</w:t>
      </w:r>
      <w:r w:rsidR="000276BB" w:rsidRPr="002B3703">
        <w:rPr>
          <w:rFonts w:ascii="Times New Roman" w:hAnsi="Times New Roman" w:cs="Times New Roman"/>
          <w:sz w:val="28"/>
          <w:szCs w:val="28"/>
        </w:rPr>
        <w:t>ого района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066622">
        <w:rPr>
          <w:rFonts w:eastAsia="Times New Roman"/>
          <w:b/>
          <w:bCs/>
          <w:i/>
          <w:sz w:val="28"/>
          <w:szCs w:val="28"/>
        </w:rPr>
        <w:t>Краснояружск</w:t>
      </w:r>
      <w:r w:rsidR="006A77D1">
        <w:rPr>
          <w:rFonts w:eastAsia="Times New Roman"/>
          <w:b/>
          <w:bCs/>
          <w:i/>
          <w:sz w:val="28"/>
          <w:szCs w:val="28"/>
        </w:rPr>
        <w:t>ий район</w:t>
      </w:r>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4763A8" w:rsidRDefault="004763A8" w:rsidP="004763A8">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4763A8" w:rsidRDefault="004763A8" w:rsidP="004763A8">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1" w:line="140" w:lineRule="exact"/>
        <w:ind w:right="-43" w:firstLine="709"/>
        <w:rPr>
          <w:sz w:val="28"/>
          <w:szCs w:val="28"/>
        </w:rPr>
      </w:pPr>
      <w:bookmarkStart w:id="7" w:name="_GoBack"/>
      <w:bookmarkEnd w:id="7"/>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7C" w:rsidRDefault="0058457C">
      <w:r>
        <w:separator/>
      </w:r>
    </w:p>
  </w:endnote>
  <w:endnote w:type="continuationSeparator" w:id="0">
    <w:p w:rsidR="0058457C" w:rsidRDefault="005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7C" w:rsidRDefault="0058457C">
      <w:r>
        <w:separator/>
      </w:r>
    </w:p>
  </w:footnote>
  <w:footnote w:type="continuationSeparator" w:id="0">
    <w:p w:rsidR="0058457C" w:rsidRDefault="0058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D0" w:rsidRPr="00195F94" w:rsidRDefault="00EA51D0"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4763A8">
      <w:rPr>
        <w:noProof/>
        <w:sz w:val="20"/>
        <w:szCs w:val="20"/>
      </w:rPr>
      <w:t>4</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D0" w:rsidRDefault="00EA51D0"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4763A8">
      <w:rPr>
        <w:noProof/>
        <w:sz w:val="20"/>
        <w:szCs w:val="20"/>
      </w:rPr>
      <w:t>53</w:t>
    </w:r>
    <w:r w:rsidRPr="002520EF">
      <w:rPr>
        <w:sz w:val="20"/>
        <w:szCs w:val="20"/>
      </w:rPr>
      <w:fldChar w:fldCharType="end"/>
    </w:r>
  </w:p>
  <w:p w:rsidR="00EA51D0" w:rsidRPr="002520EF" w:rsidRDefault="00EA51D0"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6622"/>
    <w:rsid w:val="00067031"/>
    <w:rsid w:val="000978C8"/>
    <w:rsid w:val="000B568C"/>
    <w:rsid w:val="000C2375"/>
    <w:rsid w:val="001D7344"/>
    <w:rsid w:val="001E6B84"/>
    <w:rsid w:val="001F4F6A"/>
    <w:rsid w:val="001F5405"/>
    <w:rsid w:val="001F6B1F"/>
    <w:rsid w:val="00272159"/>
    <w:rsid w:val="002A14A2"/>
    <w:rsid w:val="002A7FC8"/>
    <w:rsid w:val="002B3703"/>
    <w:rsid w:val="002C7FBF"/>
    <w:rsid w:val="003204D2"/>
    <w:rsid w:val="00326266"/>
    <w:rsid w:val="00436B4B"/>
    <w:rsid w:val="004763A8"/>
    <w:rsid w:val="004E5C2C"/>
    <w:rsid w:val="00510500"/>
    <w:rsid w:val="0053553F"/>
    <w:rsid w:val="00565A1B"/>
    <w:rsid w:val="00582C97"/>
    <w:rsid w:val="0058457C"/>
    <w:rsid w:val="005E0266"/>
    <w:rsid w:val="005F57D3"/>
    <w:rsid w:val="00631ED1"/>
    <w:rsid w:val="00655D9E"/>
    <w:rsid w:val="006A77D1"/>
    <w:rsid w:val="006B1E71"/>
    <w:rsid w:val="006E56F9"/>
    <w:rsid w:val="008340FE"/>
    <w:rsid w:val="00850A8B"/>
    <w:rsid w:val="009003F8"/>
    <w:rsid w:val="0097404B"/>
    <w:rsid w:val="009E4E67"/>
    <w:rsid w:val="00A40591"/>
    <w:rsid w:val="00A4103E"/>
    <w:rsid w:val="00A71CDF"/>
    <w:rsid w:val="00AA73FB"/>
    <w:rsid w:val="00AC291D"/>
    <w:rsid w:val="00BA3681"/>
    <w:rsid w:val="00BE631D"/>
    <w:rsid w:val="00C03E53"/>
    <w:rsid w:val="00C72B3A"/>
    <w:rsid w:val="00CC28C5"/>
    <w:rsid w:val="00CD3BE9"/>
    <w:rsid w:val="00D06F80"/>
    <w:rsid w:val="00D8469E"/>
    <w:rsid w:val="00DA00B8"/>
    <w:rsid w:val="00DE6256"/>
    <w:rsid w:val="00E11F08"/>
    <w:rsid w:val="00E16D93"/>
    <w:rsid w:val="00E50E93"/>
    <w:rsid w:val="00E5270A"/>
    <w:rsid w:val="00E57D35"/>
    <w:rsid w:val="00EA51D0"/>
    <w:rsid w:val="00EB6F01"/>
    <w:rsid w:val="00EE403E"/>
    <w:rsid w:val="00EE42FA"/>
    <w:rsid w:val="00EF246A"/>
    <w:rsid w:val="00F17530"/>
    <w:rsid w:val="00FA2D44"/>
    <w:rsid w:val="00FE3E42"/>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892497835">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15288</Words>
  <Characters>87148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2</cp:revision>
  <dcterms:created xsi:type="dcterms:W3CDTF">2017-11-03T07:23:00Z</dcterms:created>
  <dcterms:modified xsi:type="dcterms:W3CDTF">2017-11-03T07:23:00Z</dcterms:modified>
</cp:coreProperties>
</file>