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3B020E">
      <w:pPr>
        <w:tabs>
          <w:tab w:val="center" w:pos="4677"/>
        </w:tabs>
        <w:spacing w:after="0" w:line="240" w:lineRule="auto"/>
        <w:jc w:val="both"/>
        <w:rPr>
          <w:b/>
          <w:caps/>
          <w:color w:val="000000" w:themeColor="text1"/>
          <w:kern w:val="36"/>
          <w:szCs w:val="24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Pr="005527C7">
        <w:rPr>
          <w:caps/>
          <w:color w:val="000000" w:themeColor="text1"/>
          <w:kern w:val="36"/>
          <w:szCs w:val="24"/>
        </w:rPr>
        <w:t>«</w:t>
      </w:r>
      <w:r w:rsidR="003B020E" w:rsidRPr="003B020E">
        <w:rPr>
          <w:rFonts w:ascii="Times New Roman" w:hAnsi="Times New Roman"/>
          <w:b/>
          <w:sz w:val="28"/>
          <w:szCs w:val="28"/>
        </w:rPr>
        <w:t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первое полугодие 2024 года по Краснояружскому району</w:t>
      </w:r>
      <w:r w:rsidR="00EB07AF">
        <w:rPr>
          <w:rFonts w:ascii="Times New Roman" w:hAnsi="Times New Roman"/>
          <w:b/>
          <w:sz w:val="28"/>
          <w:szCs w:val="28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A55C23">
            <w:pPr>
              <w:tabs>
                <w:tab w:val="center" w:pos="4677"/>
              </w:tabs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3B020E" w:rsidRPr="003B020E">
              <w:rPr>
                <w:rFonts w:ascii="Times New Roman" w:hAnsi="Times New Roman"/>
                <w:b/>
                <w:sz w:val="28"/>
                <w:szCs w:val="28"/>
              </w:rPr>
              <w:t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первое полугодие 2024 года по Краснояружскому району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 марта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 апреля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A003CE">
            <w:pPr>
              <w:tabs>
                <w:tab w:val="center" w:pos="4677"/>
              </w:tabs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3B020E" w:rsidRPr="003B020E">
              <w:rPr>
                <w:rFonts w:ascii="Times New Roman" w:hAnsi="Times New Roman"/>
                <w:b/>
                <w:sz w:val="28"/>
                <w:szCs w:val="28"/>
              </w:rPr>
              <w:t>Об утверждении средней рыночной стоимости одного квадратного метра общей площади жилого помещения на обеспечение жилыми помещениями детей-сирот, детей, оставшихся без попечения родителей, и лиц из их числа на первое полугодие 2024 года по Краснояружскому району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 марта 2024 г. по 08 апреля 2024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3B020E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A3678"/>
    <w:rsid w:val="002C5F60"/>
    <w:rsid w:val="002D5110"/>
    <w:rsid w:val="002F697C"/>
    <w:rsid w:val="002F74EA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7258"/>
    <w:rsid w:val="006433A5"/>
    <w:rsid w:val="00643CE7"/>
    <w:rsid w:val="0065034C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3ECC"/>
    <w:rsid w:val="00731DF9"/>
    <w:rsid w:val="0073617A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36</cp:revision>
  <dcterms:created xsi:type="dcterms:W3CDTF">2022-08-05T13:01:00Z</dcterms:created>
  <dcterms:modified xsi:type="dcterms:W3CDTF">2024-03-26T10:48:00Z</dcterms:modified>
</cp:coreProperties>
</file>