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877D49" w:rsidRDefault="00E06C39" w:rsidP="007009FA">
      <w:pPr>
        <w:widowControl w:val="0"/>
        <w:tabs>
          <w:tab w:val="left" w:pos="0"/>
          <w:tab w:val="left" w:pos="8931"/>
        </w:tabs>
        <w:autoSpaceDE w:val="0"/>
        <w:autoSpaceDN w:val="0"/>
        <w:adjustRightInd w:val="0"/>
        <w:spacing w:line="240" w:lineRule="atLeast"/>
        <w:ind w:right="991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62286E" w:rsidRPr="0062286E">
        <w:rPr>
          <w:rFonts w:ascii="Times New Roman" w:hAnsi="Times New Roman" w:cs="Times New Roman"/>
          <w:color w:val="000000"/>
          <w:sz w:val="32"/>
          <w:szCs w:val="32"/>
        </w:rPr>
        <w:t xml:space="preserve">ОБ УТВЕРЖДЕНИИ </w:t>
      </w:r>
      <w:proofErr w:type="gramStart"/>
      <w:r w:rsidR="0062286E" w:rsidRPr="0062286E">
        <w:rPr>
          <w:rFonts w:ascii="Times New Roman" w:hAnsi="Times New Roman" w:cs="Times New Roman"/>
          <w:color w:val="000000"/>
          <w:sz w:val="32"/>
          <w:szCs w:val="32"/>
        </w:rPr>
        <w:t>НОРМАТИВА СТОИМОСТИ ОДНОГО КВАДРАТНОГО МЕТРА ОБЩЕЙ ПЛОЩАДИ ЖИЛЬЯ</w:t>
      </w:r>
      <w:proofErr w:type="gramEnd"/>
      <w:r w:rsidR="0062286E" w:rsidRPr="0062286E">
        <w:rPr>
          <w:rFonts w:ascii="Times New Roman" w:hAnsi="Times New Roman" w:cs="Times New Roman"/>
          <w:color w:val="000000"/>
          <w:sz w:val="32"/>
          <w:szCs w:val="32"/>
        </w:rPr>
        <w:t xml:space="preserve"> ПО </w:t>
      </w:r>
      <w:r w:rsidR="0062286E">
        <w:rPr>
          <w:rFonts w:ascii="Times New Roman" w:hAnsi="Times New Roman" w:cs="Times New Roman"/>
          <w:color w:val="000000"/>
          <w:sz w:val="32"/>
          <w:szCs w:val="32"/>
        </w:rPr>
        <w:t>М</w:t>
      </w:r>
      <w:r w:rsidR="0062286E" w:rsidRPr="0062286E">
        <w:rPr>
          <w:rFonts w:ascii="Times New Roman" w:hAnsi="Times New Roman" w:cs="Times New Roman"/>
          <w:color w:val="000000"/>
          <w:sz w:val="32"/>
          <w:szCs w:val="32"/>
        </w:rPr>
        <w:t>УНИЦИПАЛЬНОМУ РАЙОНУ «КРАСНОЯРУЖСКИЙ РАЙОН» ДЛЯ ПРЕДОСТАВЛЕНИЯ МОЛОДЫМ СЕМЬЯМ СОЦИАЛЬНЫХ ВЫПЛАТ НА ВТОРОЙ КВАРТАЛ 2025 ГОДА</w:t>
      </w:r>
      <w:r w:rsidR="00877D49" w:rsidRPr="00877D49">
        <w:rPr>
          <w:rFonts w:ascii="Times New Roman" w:hAnsi="Times New Roman" w:cs="Times New Roman"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62286E" w:rsidRDefault="00E06C39" w:rsidP="0062286E">
            <w:pPr>
              <w:widowControl w:val="0"/>
              <w:tabs>
                <w:tab w:val="left" w:pos="0"/>
                <w:tab w:val="left" w:pos="8364"/>
                <w:tab w:val="left" w:pos="8931"/>
              </w:tabs>
              <w:autoSpaceDE w:val="0"/>
              <w:autoSpaceDN w:val="0"/>
              <w:adjustRightInd w:val="0"/>
              <w:spacing w:line="240" w:lineRule="atLeast"/>
              <w:ind w:right="9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</w:t>
            </w:r>
            <w:proofErr w:type="gramStart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норматива стоимости одного квадратного метра общей площади жилья</w:t>
            </w:r>
            <w:proofErr w:type="gramEnd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муниципальному району «</w:t>
            </w:r>
            <w:proofErr w:type="spellStart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краснояружский</w:t>
            </w:r>
            <w:proofErr w:type="spellEnd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район» для предоставления молодым семьям социальных выплат на второй квартал 2025 года</w:t>
            </w:r>
            <w:r w:rsidR="0062286E" w:rsidRPr="0062286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22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22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622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 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62286E" w:rsidRDefault="003327EE" w:rsidP="0062286E">
            <w:pPr>
              <w:widowControl w:val="0"/>
              <w:tabs>
                <w:tab w:val="left" w:pos="0"/>
                <w:tab w:val="left" w:pos="8364"/>
                <w:tab w:val="left" w:pos="8931"/>
              </w:tabs>
              <w:autoSpaceDE w:val="0"/>
              <w:autoSpaceDN w:val="0"/>
              <w:adjustRightInd w:val="0"/>
              <w:spacing w:line="240" w:lineRule="atLeast"/>
              <w:ind w:right="991"/>
              <w:rPr>
                <w:rFonts w:ascii="Times New Roman" w:hAnsi="Times New Roman" w:cs="Times New Roman"/>
                <w:sz w:val="32"/>
                <w:szCs w:val="32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 утверждении </w:t>
            </w:r>
            <w:proofErr w:type="gramStart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норматива стоимости одного квадратного метра общей площади жилья</w:t>
            </w:r>
            <w:proofErr w:type="gramEnd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муниципальному району «</w:t>
            </w:r>
            <w:proofErr w:type="spellStart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краснояружский</w:t>
            </w:r>
            <w:proofErr w:type="spellEnd"/>
            <w:r w:rsidR="0062286E" w:rsidRPr="006228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район» для предоставления молодым семьям социальных выплат на второй квартал 2025 года</w:t>
            </w:r>
            <w:r w:rsidR="0062286E" w:rsidRPr="0062286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6391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228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622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228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717B57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9385E"/>
    <w:rsid w:val="0044303D"/>
    <w:rsid w:val="0046391D"/>
    <w:rsid w:val="0048078D"/>
    <w:rsid w:val="004A12F1"/>
    <w:rsid w:val="00502B2A"/>
    <w:rsid w:val="0057498E"/>
    <w:rsid w:val="005A2F69"/>
    <w:rsid w:val="005D5042"/>
    <w:rsid w:val="005E0013"/>
    <w:rsid w:val="00607AD4"/>
    <w:rsid w:val="0062286E"/>
    <w:rsid w:val="006544FD"/>
    <w:rsid w:val="006D2776"/>
    <w:rsid w:val="007009FA"/>
    <w:rsid w:val="00717B57"/>
    <w:rsid w:val="00731EC2"/>
    <w:rsid w:val="00732B0A"/>
    <w:rsid w:val="00754CC0"/>
    <w:rsid w:val="00766A47"/>
    <w:rsid w:val="007B624B"/>
    <w:rsid w:val="007C3B50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D05F4"/>
    <w:rsid w:val="00B303D1"/>
    <w:rsid w:val="00BC5488"/>
    <w:rsid w:val="00BE4661"/>
    <w:rsid w:val="00CF0A84"/>
    <w:rsid w:val="00D05952"/>
    <w:rsid w:val="00D25BD8"/>
    <w:rsid w:val="00D319E4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4</cp:revision>
  <dcterms:created xsi:type="dcterms:W3CDTF">2025-07-09T11:24:00Z</dcterms:created>
  <dcterms:modified xsi:type="dcterms:W3CDTF">2025-07-09T12:28:00Z</dcterms:modified>
</cp:coreProperties>
</file>