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C31288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A44663" w:rsidRPr="00A44663">
        <w:rPr>
          <w:rFonts w:ascii="Times New Roman" w:hAnsi="Times New Roman" w:cs="Times New Roman"/>
          <w:bCs/>
          <w:sz w:val="32"/>
          <w:szCs w:val="32"/>
        </w:rPr>
        <w:t xml:space="preserve">ОБ УТВЕРЖДЕНИИ СРЕДНЕЙ РЫНОЧНОЙ СТОИМОСТИ ОДНОГО КВАДРАТНОГО МЕТРА ЖИЛОГО ПОМЕЩЕНИЯ В ЦЕЛЯХ ОБЕСПЕЧЕНИЯ ЖИЛЬЕМ СЕМЕЙ, ИМЕЮЩИХ ДЕТЕЙ-ИНВАЛИДОВ </w:t>
      </w:r>
      <w:r w:rsidR="00A44663" w:rsidRPr="00A44663">
        <w:rPr>
          <w:rFonts w:ascii="Times New Roman" w:hAnsi="Times New Roman" w:cs="Times New Roman"/>
          <w:bCs/>
          <w:sz w:val="32"/>
          <w:szCs w:val="32"/>
        </w:rPr>
        <w:br/>
        <w:t>ПО МУНИЦИПАЛЬНОМУ РАЙОНУ «КРАСНОЯРУЖСКИЙ РАЙОН» НА ВТОРОЕ ПОЛУГОДИЕ 2025 ГОДА</w:t>
      </w:r>
      <w:r w:rsidR="003C7CF1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3C7CF1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44663" w:rsidRPr="00A4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средней рыночной стоимости одного квадратного метра жилого помещения в целях обеспечения жильем семей, имеющих детей-инвалидов по муниципальному району «</w:t>
            </w:r>
            <w:proofErr w:type="spellStart"/>
            <w:r w:rsidR="00A44663" w:rsidRPr="00A4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Краснояружский</w:t>
            </w:r>
            <w:proofErr w:type="spellEnd"/>
            <w:r w:rsidR="00A44663" w:rsidRPr="00A4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на второе полугодие 2025 года</w:t>
            </w:r>
            <w:r w:rsidR="003C7CF1" w:rsidRPr="003C7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44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A44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июля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C7CF1" w:rsidRDefault="003327EE" w:rsidP="003C7CF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44663" w:rsidRPr="00A4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средней рыночной стоимости одного квадратного метра жилого помещения в целях обеспечения жильем семей, имеющих детей-инвалидов по муниципальному району «</w:t>
            </w:r>
            <w:proofErr w:type="spellStart"/>
            <w:r w:rsidR="00A44663" w:rsidRPr="00A4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Краснояружский</w:t>
            </w:r>
            <w:proofErr w:type="spellEnd"/>
            <w:r w:rsidR="00A44663" w:rsidRPr="00A4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на второе полугодие 2025 года</w:t>
            </w:r>
            <w:r w:rsidRPr="003C7C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A446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44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A44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июля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A44663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C7CF1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44663"/>
    <w:rsid w:val="00A7026A"/>
    <w:rsid w:val="00A8745F"/>
    <w:rsid w:val="00AD05F4"/>
    <w:rsid w:val="00B303D1"/>
    <w:rsid w:val="00BC5488"/>
    <w:rsid w:val="00BE4661"/>
    <w:rsid w:val="00C31288"/>
    <w:rsid w:val="00CD67F4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ED3589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2025-07-15T06:05:00Z</dcterms:created>
  <dcterms:modified xsi:type="dcterms:W3CDTF">2025-07-15T06:05:00Z</dcterms:modified>
</cp:coreProperties>
</file>