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C31288" w:rsidRDefault="00E06C39" w:rsidP="00C3128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015754" w:rsidRPr="00015754">
        <w:rPr>
          <w:rFonts w:ascii="Times New Roman" w:hAnsi="Times New Roman" w:cs="Times New Roman"/>
          <w:sz w:val="32"/>
          <w:szCs w:val="32"/>
        </w:rPr>
        <w:t>О ВНЕСЕНИИ ИЗМЕНЕНИЙ В ПОСТАНОВЛЕНИЕ АДМИНИСТРАЦИИ КРАСНОЯРУЖСКОГО РАЙОНА ОТ 28 НОЯБРЯ 2024 ГОДА №251»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732B0A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015754" w:rsidRPr="000157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015754" w:rsidRPr="00015754">
              <w:rPr>
                <w:rFonts w:ascii="Times New Roman" w:hAnsi="Times New Roman" w:cs="Times New Roman"/>
                <w:b/>
                <w:sz w:val="24"/>
                <w:szCs w:val="24"/>
              </w:rPr>
              <w:t>Краснояружского</w:t>
            </w:r>
            <w:proofErr w:type="spellEnd"/>
            <w:r w:rsidR="00015754" w:rsidRPr="000157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от 28 ноября 2024 года №251»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хозяйствующего субъекта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15754" w:rsidRPr="00015754" w:rsidRDefault="003327EE" w:rsidP="00015754">
            <w:pPr>
              <w:spacing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7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15754" w:rsidRPr="000157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015754" w:rsidRPr="00015754">
              <w:rPr>
                <w:rFonts w:ascii="Times New Roman" w:hAnsi="Times New Roman" w:cs="Times New Roman"/>
                <w:b/>
                <w:sz w:val="24"/>
                <w:szCs w:val="24"/>
              </w:rPr>
              <w:t>Краснояружского</w:t>
            </w:r>
            <w:proofErr w:type="spellEnd"/>
            <w:r w:rsidR="00015754" w:rsidRPr="000157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от 28 ноября 2024 года №251»</w:t>
            </w:r>
          </w:p>
          <w:p w:rsidR="00E06C39" w:rsidRPr="00E06C39" w:rsidRDefault="00E06C39" w:rsidP="0001575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01575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C1328F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15754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1328F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13911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2025-07-11T06:23:00Z</dcterms:created>
  <dcterms:modified xsi:type="dcterms:W3CDTF">2025-07-11T06:23:00Z</dcterms:modified>
</cp:coreProperties>
</file>